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104" w:rsidRDefault="00774104" w:rsidP="00774104">
      <w:pPr>
        <w:jc w:val="center"/>
        <w:rPr>
          <w:b/>
          <w:sz w:val="28"/>
          <w:szCs w:val="28"/>
          <w:u w:val="single"/>
        </w:rPr>
      </w:pPr>
      <w:r>
        <w:rPr>
          <w:b/>
          <w:sz w:val="28"/>
          <w:szCs w:val="28"/>
          <w:u w:val="single"/>
        </w:rPr>
        <w:t>ANNEXURE-I</w:t>
      </w:r>
    </w:p>
    <w:p w:rsidR="00774104" w:rsidRPr="00774104" w:rsidRDefault="00774104" w:rsidP="00774104">
      <w:pPr>
        <w:jc w:val="center"/>
        <w:rPr>
          <w:b/>
          <w:sz w:val="28"/>
          <w:szCs w:val="28"/>
          <w:u w:val="single"/>
        </w:rPr>
      </w:pPr>
      <w:r w:rsidRPr="00E5691A">
        <w:rPr>
          <w:b/>
          <w:sz w:val="28"/>
          <w:szCs w:val="28"/>
          <w:u w:val="single"/>
        </w:rPr>
        <w:t>Detailed Analysis of 4th Control Period</w:t>
      </w:r>
    </w:p>
    <w:p w:rsidR="008171B5" w:rsidRPr="00435BC3" w:rsidRDefault="007A2FA2" w:rsidP="007A2FA2">
      <w:pPr>
        <w:jc w:val="both"/>
        <w:rPr>
          <w:rFonts w:asciiTheme="minorHAnsi" w:hAnsiTheme="minorHAnsi" w:cstheme="minorHAnsi"/>
        </w:rPr>
      </w:pPr>
      <w:r w:rsidRPr="00435BC3">
        <w:rPr>
          <w:rFonts w:asciiTheme="minorHAnsi" w:hAnsiTheme="minorHAnsi" w:cstheme="minorHAnsi"/>
        </w:rPr>
        <w:t>TSDISCOMs filed the Resource Plan Petition for 5</w:t>
      </w:r>
      <w:r w:rsidRPr="00435BC3">
        <w:rPr>
          <w:rFonts w:asciiTheme="minorHAnsi" w:hAnsiTheme="minorHAnsi" w:cstheme="minorHAnsi"/>
          <w:vertAlign w:val="superscript"/>
        </w:rPr>
        <w:t>th</w:t>
      </w:r>
      <w:r w:rsidRPr="00435BC3">
        <w:rPr>
          <w:rFonts w:asciiTheme="minorHAnsi" w:hAnsiTheme="minorHAnsi" w:cstheme="minorHAnsi"/>
        </w:rPr>
        <w:t xml:space="preserve"> (FY 2024-25 to FY 2028-29) and 6</w:t>
      </w:r>
      <w:r w:rsidRPr="00435BC3">
        <w:rPr>
          <w:rFonts w:asciiTheme="minorHAnsi" w:hAnsiTheme="minorHAnsi" w:cstheme="minorHAnsi"/>
          <w:vertAlign w:val="superscript"/>
        </w:rPr>
        <w:t>th</w:t>
      </w:r>
      <w:r w:rsidRPr="00435BC3">
        <w:rPr>
          <w:rFonts w:asciiTheme="minorHAnsi" w:hAnsiTheme="minorHAnsi" w:cstheme="minorHAnsi"/>
        </w:rPr>
        <w:t xml:space="preserve"> Control Period (FY 2029-30 to FY 2033-34) on 01.04.2023. Hon’ble TSERC conducted Public hearing on the filed Resource Plan petitions on 01.09.2023. On the suggestion of the stakeholders, Hon’ble TSERC directed the TSDISCOMs </w:t>
      </w:r>
      <w:r w:rsidR="008A1871" w:rsidRPr="00435BC3">
        <w:rPr>
          <w:rFonts w:asciiTheme="minorHAnsi" w:hAnsiTheme="minorHAnsi" w:cstheme="minorHAnsi"/>
        </w:rPr>
        <w:t>to undertake an analysis on performance of 4</w:t>
      </w:r>
      <w:r w:rsidR="008A1871" w:rsidRPr="00435BC3">
        <w:rPr>
          <w:rFonts w:asciiTheme="minorHAnsi" w:hAnsiTheme="minorHAnsi" w:cstheme="minorHAnsi"/>
          <w:vertAlign w:val="superscript"/>
        </w:rPr>
        <w:t>th</w:t>
      </w:r>
      <w:r w:rsidR="008A1871" w:rsidRPr="00435BC3">
        <w:rPr>
          <w:rFonts w:asciiTheme="minorHAnsi" w:hAnsiTheme="minorHAnsi" w:cstheme="minorHAnsi"/>
        </w:rPr>
        <w:t xml:space="preserve"> Control period. </w:t>
      </w:r>
    </w:p>
    <w:p w:rsidR="008A1871" w:rsidRPr="00435BC3" w:rsidRDefault="00682F27" w:rsidP="007A2FA2">
      <w:pPr>
        <w:jc w:val="both"/>
        <w:rPr>
          <w:rFonts w:asciiTheme="minorHAnsi" w:hAnsiTheme="minorHAnsi" w:cstheme="minorHAnsi"/>
        </w:rPr>
      </w:pPr>
      <w:r w:rsidRPr="00435BC3">
        <w:rPr>
          <w:rFonts w:asciiTheme="minorHAnsi" w:hAnsiTheme="minorHAnsi" w:cstheme="minorHAnsi"/>
        </w:rPr>
        <w:t xml:space="preserve">In line with the direction of Hon’ble TSERC, </w:t>
      </w:r>
      <w:r w:rsidR="008A1871" w:rsidRPr="00435BC3">
        <w:rPr>
          <w:rFonts w:asciiTheme="minorHAnsi" w:hAnsiTheme="minorHAnsi" w:cstheme="minorHAnsi"/>
        </w:rPr>
        <w:t xml:space="preserve">TSDISCOMs </w:t>
      </w:r>
      <w:r w:rsidRPr="00435BC3">
        <w:rPr>
          <w:rFonts w:asciiTheme="minorHAnsi" w:hAnsiTheme="minorHAnsi" w:cstheme="minorHAnsi"/>
        </w:rPr>
        <w:t xml:space="preserve">are hereby submitting </w:t>
      </w:r>
      <w:r w:rsidR="008A1871" w:rsidRPr="00435BC3">
        <w:rPr>
          <w:rFonts w:asciiTheme="minorHAnsi" w:hAnsiTheme="minorHAnsi" w:cstheme="minorHAnsi"/>
        </w:rPr>
        <w:t>an analysis of the Sales and Power P</w:t>
      </w:r>
      <w:r w:rsidRPr="00435BC3">
        <w:rPr>
          <w:rFonts w:asciiTheme="minorHAnsi" w:hAnsiTheme="minorHAnsi" w:cstheme="minorHAnsi"/>
        </w:rPr>
        <w:t>rocurement</w:t>
      </w:r>
      <w:r w:rsidR="008A1871" w:rsidRPr="00435BC3">
        <w:rPr>
          <w:rFonts w:asciiTheme="minorHAnsi" w:hAnsiTheme="minorHAnsi" w:cstheme="minorHAnsi"/>
        </w:rPr>
        <w:t>. The analysis of</w:t>
      </w:r>
      <w:r w:rsidR="00574E93" w:rsidRPr="00435BC3">
        <w:rPr>
          <w:rFonts w:asciiTheme="minorHAnsi" w:hAnsiTheme="minorHAnsi" w:cstheme="minorHAnsi"/>
        </w:rPr>
        <w:t xml:space="preserve"> Sales and Power P</w:t>
      </w:r>
      <w:r w:rsidRPr="00435BC3">
        <w:rPr>
          <w:rFonts w:asciiTheme="minorHAnsi" w:hAnsiTheme="minorHAnsi" w:cstheme="minorHAnsi"/>
        </w:rPr>
        <w:t>rocurement</w:t>
      </w:r>
      <w:r w:rsidR="00574E93" w:rsidRPr="00435BC3">
        <w:rPr>
          <w:rFonts w:asciiTheme="minorHAnsi" w:hAnsiTheme="minorHAnsi" w:cstheme="minorHAnsi"/>
        </w:rPr>
        <w:t xml:space="preserve"> at the time of filing and their actual position </w:t>
      </w:r>
      <w:r w:rsidR="008A1871" w:rsidRPr="00435BC3">
        <w:rPr>
          <w:rFonts w:asciiTheme="minorHAnsi" w:hAnsiTheme="minorHAnsi" w:cstheme="minorHAnsi"/>
        </w:rPr>
        <w:t>in the of 4</w:t>
      </w:r>
      <w:r w:rsidR="008A1871" w:rsidRPr="00435BC3">
        <w:rPr>
          <w:rFonts w:asciiTheme="minorHAnsi" w:hAnsiTheme="minorHAnsi" w:cstheme="minorHAnsi"/>
          <w:vertAlign w:val="superscript"/>
        </w:rPr>
        <w:t>th</w:t>
      </w:r>
      <w:r w:rsidR="008A1871" w:rsidRPr="00435BC3">
        <w:rPr>
          <w:rFonts w:asciiTheme="minorHAnsi" w:hAnsiTheme="minorHAnsi" w:cstheme="minorHAnsi"/>
        </w:rPr>
        <w:t xml:space="preserve"> Control </w:t>
      </w:r>
      <w:r w:rsidRPr="00435BC3">
        <w:rPr>
          <w:rFonts w:asciiTheme="minorHAnsi" w:hAnsiTheme="minorHAnsi" w:cstheme="minorHAnsi"/>
        </w:rPr>
        <w:t>P</w:t>
      </w:r>
      <w:r w:rsidR="008A1871" w:rsidRPr="00435BC3">
        <w:rPr>
          <w:rFonts w:asciiTheme="minorHAnsi" w:hAnsiTheme="minorHAnsi" w:cstheme="minorHAnsi"/>
        </w:rPr>
        <w:t xml:space="preserve">eriod are provided </w:t>
      </w:r>
      <w:r w:rsidR="00574E93" w:rsidRPr="00435BC3">
        <w:rPr>
          <w:rFonts w:asciiTheme="minorHAnsi" w:hAnsiTheme="minorHAnsi" w:cstheme="minorHAnsi"/>
        </w:rPr>
        <w:t>in the following sections.</w:t>
      </w:r>
    </w:p>
    <w:p w:rsidR="00774104" w:rsidRPr="00774104" w:rsidRDefault="00574E93" w:rsidP="00976D04">
      <w:pPr>
        <w:jc w:val="both"/>
        <w:rPr>
          <w:rFonts w:asciiTheme="minorHAnsi" w:hAnsiTheme="minorHAnsi" w:cstheme="minorHAnsi"/>
        </w:rPr>
      </w:pPr>
      <w:r w:rsidRPr="00435BC3">
        <w:rPr>
          <w:rFonts w:asciiTheme="minorHAnsi" w:hAnsiTheme="minorHAnsi" w:cstheme="minorHAnsi"/>
        </w:rPr>
        <w:t>Further a detailed Justification for the Energy balance scenario for 5</w:t>
      </w:r>
      <w:r w:rsidRPr="00435BC3">
        <w:rPr>
          <w:rFonts w:asciiTheme="minorHAnsi" w:hAnsiTheme="minorHAnsi" w:cstheme="minorHAnsi"/>
          <w:vertAlign w:val="superscript"/>
        </w:rPr>
        <w:t>th</w:t>
      </w:r>
      <w:r w:rsidRPr="00435BC3">
        <w:rPr>
          <w:rFonts w:asciiTheme="minorHAnsi" w:hAnsiTheme="minorHAnsi" w:cstheme="minorHAnsi"/>
        </w:rPr>
        <w:t xml:space="preserve"> and 6</w:t>
      </w:r>
      <w:r w:rsidRPr="00435BC3">
        <w:rPr>
          <w:rFonts w:asciiTheme="minorHAnsi" w:hAnsiTheme="minorHAnsi" w:cstheme="minorHAnsi"/>
          <w:vertAlign w:val="superscript"/>
        </w:rPr>
        <w:t>th</w:t>
      </w:r>
      <w:r w:rsidRPr="00435BC3">
        <w:rPr>
          <w:rFonts w:asciiTheme="minorHAnsi" w:hAnsiTheme="minorHAnsi" w:cstheme="minorHAnsi"/>
        </w:rPr>
        <w:t xml:space="preserve"> Control period is also provided. </w:t>
      </w:r>
    </w:p>
    <w:p w:rsidR="00774104" w:rsidRPr="00774104" w:rsidRDefault="00F35AA5" w:rsidP="00774104">
      <w:pPr>
        <w:ind w:left="360" w:hanging="360"/>
        <w:jc w:val="both"/>
        <w:rPr>
          <w:rFonts w:asciiTheme="minorHAnsi" w:hAnsiTheme="minorHAnsi" w:cstheme="minorHAnsi"/>
          <w:b/>
          <w:sz w:val="28"/>
          <w:szCs w:val="24"/>
          <w:u w:val="single"/>
        </w:rPr>
      </w:pPr>
      <w:r w:rsidRPr="00774104">
        <w:rPr>
          <w:rFonts w:asciiTheme="minorHAnsi" w:hAnsiTheme="minorHAnsi" w:cstheme="minorHAnsi"/>
          <w:b/>
          <w:sz w:val="28"/>
          <w:szCs w:val="24"/>
          <w:u w:val="single"/>
        </w:rPr>
        <w:t xml:space="preserve">Analysis of </w:t>
      </w:r>
      <w:r w:rsidR="00B908B3" w:rsidRPr="00774104">
        <w:rPr>
          <w:rFonts w:asciiTheme="minorHAnsi" w:hAnsiTheme="minorHAnsi" w:cstheme="minorHAnsi"/>
          <w:b/>
          <w:sz w:val="28"/>
          <w:szCs w:val="24"/>
          <w:u w:val="single"/>
        </w:rPr>
        <w:t xml:space="preserve">Power </w:t>
      </w:r>
      <w:r w:rsidR="003015DC" w:rsidRPr="00774104">
        <w:rPr>
          <w:rFonts w:asciiTheme="minorHAnsi" w:hAnsiTheme="minorHAnsi" w:cstheme="minorHAnsi"/>
          <w:b/>
          <w:sz w:val="28"/>
          <w:szCs w:val="24"/>
          <w:u w:val="single"/>
        </w:rPr>
        <w:t>Procurement</w:t>
      </w:r>
      <w:r w:rsidR="009E0023" w:rsidRPr="00774104">
        <w:rPr>
          <w:rFonts w:asciiTheme="minorHAnsi" w:hAnsiTheme="minorHAnsi" w:cstheme="minorHAnsi"/>
          <w:b/>
          <w:sz w:val="28"/>
          <w:szCs w:val="24"/>
          <w:u w:val="single"/>
        </w:rPr>
        <w:t xml:space="preserve"> </w:t>
      </w:r>
      <w:r w:rsidR="001856A1" w:rsidRPr="00774104">
        <w:rPr>
          <w:rFonts w:asciiTheme="minorHAnsi" w:hAnsiTheme="minorHAnsi" w:cstheme="minorHAnsi"/>
          <w:b/>
          <w:sz w:val="28"/>
          <w:szCs w:val="24"/>
          <w:u w:val="single"/>
        </w:rPr>
        <w:t>of TS Discoms in 4</w:t>
      </w:r>
      <w:r w:rsidR="001856A1" w:rsidRPr="00774104">
        <w:rPr>
          <w:rFonts w:asciiTheme="minorHAnsi" w:hAnsiTheme="minorHAnsi" w:cstheme="minorHAnsi"/>
          <w:b/>
          <w:sz w:val="28"/>
          <w:szCs w:val="24"/>
          <w:u w:val="single"/>
          <w:vertAlign w:val="superscript"/>
        </w:rPr>
        <w:t>th</w:t>
      </w:r>
      <w:r w:rsidR="001856A1" w:rsidRPr="00774104">
        <w:rPr>
          <w:rFonts w:asciiTheme="minorHAnsi" w:hAnsiTheme="minorHAnsi" w:cstheme="minorHAnsi"/>
          <w:b/>
          <w:sz w:val="28"/>
          <w:szCs w:val="24"/>
          <w:u w:val="single"/>
        </w:rPr>
        <w:t xml:space="preserve"> Control Period</w:t>
      </w:r>
    </w:p>
    <w:p w:rsidR="00727204" w:rsidRPr="00435BC3" w:rsidRDefault="00C13199" w:rsidP="00976D04">
      <w:pPr>
        <w:jc w:val="both"/>
        <w:rPr>
          <w:rFonts w:asciiTheme="minorHAnsi" w:hAnsiTheme="minorHAnsi" w:cstheme="minorHAnsi"/>
          <w:szCs w:val="24"/>
        </w:rPr>
      </w:pPr>
      <w:r w:rsidRPr="00435BC3">
        <w:rPr>
          <w:rFonts w:asciiTheme="minorHAnsi" w:hAnsiTheme="minorHAnsi" w:cstheme="minorHAnsi"/>
          <w:szCs w:val="24"/>
        </w:rPr>
        <w:t>In accordance with the Telangana State Electricity Regulatory Commission (Terms and Conditions for Determination of Tariff for Wheeling and Retail Sale of Electricity), Regulation 4 of 2005</w:t>
      </w:r>
      <w:r w:rsidR="00B82CE4" w:rsidRPr="00435BC3">
        <w:rPr>
          <w:rFonts w:asciiTheme="minorHAnsi" w:hAnsiTheme="minorHAnsi" w:cstheme="minorHAnsi"/>
          <w:szCs w:val="24"/>
        </w:rPr>
        <w:t>,</w:t>
      </w:r>
      <w:r w:rsidRPr="00435BC3">
        <w:rPr>
          <w:rFonts w:asciiTheme="minorHAnsi" w:hAnsiTheme="minorHAnsi" w:cstheme="minorHAnsi"/>
          <w:szCs w:val="24"/>
        </w:rPr>
        <w:t xml:space="preserve"> Resource Plan shall contain</w:t>
      </w:r>
      <w:r w:rsidR="002634DD" w:rsidRPr="00435BC3">
        <w:rPr>
          <w:rFonts w:asciiTheme="minorHAnsi" w:hAnsiTheme="minorHAnsi" w:cstheme="minorHAnsi"/>
          <w:szCs w:val="24"/>
        </w:rPr>
        <w:t xml:space="preserve"> Sales forecast, Load forecast, Power </w:t>
      </w:r>
      <w:r w:rsidR="00CE4786" w:rsidRPr="00435BC3">
        <w:rPr>
          <w:rFonts w:asciiTheme="minorHAnsi" w:hAnsiTheme="minorHAnsi" w:cstheme="minorHAnsi"/>
          <w:szCs w:val="24"/>
        </w:rPr>
        <w:t>p</w:t>
      </w:r>
      <w:r w:rsidR="002634DD" w:rsidRPr="00435BC3">
        <w:rPr>
          <w:rFonts w:asciiTheme="minorHAnsi" w:hAnsiTheme="minorHAnsi" w:cstheme="minorHAnsi"/>
          <w:szCs w:val="24"/>
        </w:rPr>
        <w:t xml:space="preserve">rocurement </w:t>
      </w:r>
      <w:r w:rsidR="00CE4786" w:rsidRPr="00435BC3">
        <w:rPr>
          <w:rFonts w:asciiTheme="minorHAnsi" w:hAnsiTheme="minorHAnsi" w:cstheme="minorHAnsi"/>
          <w:szCs w:val="24"/>
        </w:rPr>
        <w:t>p</w:t>
      </w:r>
      <w:r w:rsidR="002634DD" w:rsidRPr="00435BC3">
        <w:rPr>
          <w:rFonts w:asciiTheme="minorHAnsi" w:hAnsiTheme="minorHAnsi" w:cstheme="minorHAnsi"/>
          <w:szCs w:val="24"/>
        </w:rPr>
        <w:t xml:space="preserve">lan and Distribution </w:t>
      </w:r>
      <w:r w:rsidR="00CE4786" w:rsidRPr="00435BC3">
        <w:rPr>
          <w:rFonts w:asciiTheme="minorHAnsi" w:hAnsiTheme="minorHAnsi" w:cstheme="minorHAnsi"/>
          <w:szCs w:val="24"/>
        </w:rPr>
        <w:t>p</w:t>
      </w:r>
      <w:r w:rsidR="002634DD" w:rsidRPr="00435BC3">
        <w:rPr>
          <w:rFonts w:asciiTheme="minorHAnsi" w:hAnsiTheme="minorHAnsi" w:cstheme="minorHAnsi"/>
          <w:szCs w:val="24"/>
        </w:rPr>
        <w:t>l</w:t>
      </w:r>
      <w:r w:rsidR="003015DC" w:rsidRPr="00435BC3">
        <w:rPr>
          <w:rFonts w:asciiTheme="minorHAnsi" w:hAnsiTheme="minorHAnsi" w:cstheme="minorHAnsi"/>
          <w:szCs w:val="24"/>
        </w:rPr>
        <w:t>an</w:t>
      </w:r>
      <w:r w:rsidR="00114F00" w:rsidRPr="00435BC3">
        <w:rPr>
          <w:rFonts w:asciiTheme="minorHAnsi" w:hAnsiTheme="minorHAnsi" w:cstheme="minorHAnsi"/>
          <w:szCs w:val="24"/>
        </w:rPr>
        <w:t>.</w:t>
      </w:r>
    </w:p>
    <w:p w:rsidR="00727204" w:rsidRPr="00435BC3" w:rsidRDefault="00D97E20" w:rsidP="00976D04">
      <w:pPr>
        <w:jc w:val="both"/>
        <w:rPr>
          <w:rFonts w:asciiTheme="minorHAnsi" w:hAnsiTheme="minorHAnsi" w:cstheme="minorHAnsi"/>
          <w:szCs w:val="24"/>
        </w:rPr>
      </w:pPr>
      <w:r w:rsidRPr="00435BC3">
        <w:rPr>
          <w:rFonts w:asciiTheme="minorHAnsi" w:hAnsiTheme="minorHAnsi" w:cstheme="minorHAnsi"/>
          <w:szCs w:val="24"/>
        </w:rPr>
        <w:t>TSDISCOMs filed the 4</w:t>
      </w:r>
      <w:r w:rsidRPr="00435BC3">
        <w:rPr>
          <w:rFonts w:asciiTheme="minorHAnsi" w:hAnsiTheme="minorHAnsi" w:cstheme="minorHAnsi"/>
          <w:szCs w:val="24"/>
          <w:vertAlign w:val="superscript"/>
        </w:rPr>
        <w:t>th</w:t>
      </w:r>
      <w:r w:rsidRPr="00435BC3">
        <w:rPr>
          <w:rFonts w:asciiTheme="minorHAnsi" w:hAnsiTheme="minorHAnsi" w:cstheme="minorHAnsi"/>
          <w:szCs w:val="24"/>
        </w:rPr>
        <w:t xml:space="preserve"> Control Period Resource Plan on 31.10.2018</w:t>
      </w:r>
      <w:r w:rsidR="00F308DD" w:rsidRPr="00435BC3">
        <w:rPr>
          <w:rFonts w:asciiTheme="minorHAnsi" w:hAnsiTheme="minorHAnsi" w:cstheme="minorHAnsi"/>
          <w:szCs w:val="24"/>
        </w:rPr>
        <w:t xml:space="preserve"> which consisted </w:t>
      </w:r>
      <w:r w:rsidR="004F7673" w:rsidRPr="00435BC3">
        <w:rPr>
          <w:rFonts w:asciiTheme="minorHAnsi" w:hAnsiTheme="minorHAnsi" w:cstheme="minorHAnsi"/>
          <w:szCs w:val="24"/>
        </w:rPr>
        <w:t>of</w:t>
      </w:r>
      <w:r w:rsidR="00153DC7" w:rsidRPr="00435BC3">
        <w:rPr>
          <w:rFonts w:asciiTheme="minorHAnsi" w:hAnsiTheme="minorHAnsi" w:cstheme="minorHAnsi"/>
          <w:szCs w:val="24"/>
        </w:rPr>
        <w:t xml:space="preserve"> </w:t>
      </w:r>
      <w:r w:rsidR="00272B21" w:rsidRPr="00435BC3">
        <w:rPr>
          <w:rFonts w:asciiTheme="minorHAnsi" w:hAnsiTheme="minorHAnsi" w:cstheme="minorHAnsi"/>
          <w:szCs w:val="24"/>
        </w:rPr>
        <w:t xml:space="preserve">Sale forecast, </w:t>
      </w:r>
      <w:r w:rsidR="00962B76" w:rsidRPr="00435BC3">
        <w:rPr>
          <w:rFonts w:asciiTheme="minorHAnsi" w:hAnsiTheme="minorHAnsi" w:cstheme="minorHAnsi"/>
          <w:szCs w:val="24"/>
        </w:rPr>
        <w:t>load forecast</w:t>
      </w:r>
      <w:r w:rsidR="003135BE" w:rsidRPr="00435BC3">
        <w:rPr>
          <w:rFonts w:asciiTheme="minorHAnsi" w:hAnsiTheme="minorHAnsi" w:cstheme="minorHAnsi"/>
          <w:szCs w:val="24"/>
        </w:rPr>
        <w:t xml:space="preserve"> and </w:t>
      </w:r>
      <w:r w:rsidR="00962B76" w:rsidRPr="00435BC3">
        <w:rPr>
          <w:rFonts w:asciiTheme="minorHAnsi" w:hAnsiTheme="minorHAnsi" w:cstheme="minorHAnsi"/>
          <w:szCs w:val="24"/>
        </w:rPr>
        <w:t>distribution plan</w:t>
      </w:r>
      <w:r w:rsidR="00272B21" w:rsidRPr="00435BC3">
        <w:rPr>
          <w:rFonts w:asciiTheme="minorHAnsi" w:hAnsiTheme="minorHAnsi" w:cstheme="minorHAnsi"/>
          <w:szCs w:val="24"/>
        </w:rPr>
        <w:t xml:space="preserve"> </w:t>
      </w:r>
      <w:r w:rsidR="0048767A" w:rsidRPr="00435BC3">
        <w:rPr>
          <w:rFonts w:asciiTheme="minorHAnsi" w:hAnsiTheme="minorHAnsi" w:cstheme="minorHAnsi"/>
          <w:szCs w:val="24"/>
        </w:rPr>
        <w:t>and</w:t>
      </w:r>
      <w:r w:rsidRPr="00435BC3">
        <w:rPr>
          <w:rFonts w:asciiTheme="minorHAnsi" w:hAnsiTheme="minorHAnsi" w:cstheme="minorHAnsi"/>
          <w:szCs w:val="24"/>
        </w:rPr>
        <w:t xml:space="preserve"> submitted that the Power </w:t>
      </w:r>
      <w:r w:rsidR="007013C5" w:rsidRPr="00435BC3">
        <w:rPr>
          <w:rFonts w:asciiTheme="minorHAnsi" w:hAnsiTheme="minorHAnsi" w:cstheme="minorHAnsi"/>
          <w:szCs w:val="24"/>
        </w:rPr>
        <w:t>p</w:t>
      </w:r>
      <w:r w:rsidRPr="00435BC3">
        <w:rPr>
          <w:rFonts w:asciiTheme="minorHAnsi" w:hAnsiTheme="minorHAnsi" w:cstheme="minorHAnsi"/>
          <w:szCs w:val="24"/>
        </w:rPr>
        <w:t xml:space="preserve">rocurement </w:t>
      </w:r>
      <w:r w:rsidR="007013C5" w:rsidRPr="00435BC3">
        <w:rPr>
          <w:rFonts w:asciiTheme="minorHAnsi" w:hAnsiTheme="minorHAnsi" w:cstheme="minorHAnsi"/>
          <w:szCs w:val="24"/>
        </w:rPr>
        <w:t>p</w:t>
      </w:r>
      <w:r w:rsidRPr="00435BC3">
        <w:rPr>
          <w:rFonts w:asciiTheme="minorHAnsi" w:hAnsiTheme="minorHAnsi" w:cstheme="minorHAnsi"/>
          <w:szCs w:val="24"/>
        </w:rPr>
        <w:t>lan will be submitted shortly.</w:t>
      </w:r>
    </w:p>
    <w:p w:rsidR="00727204" w:rsidRPr="00435BC3" w:rsidRDefault="00D97E20" w:rsidP="00976D04">
      <w:pPr>
        <w:jc w:val="both"/>
        <w:rPr>
          <w:rFonts w:asciiTheme="minorHAnsi" w:hAnsiTheme="minorHAnsi" w:cstheme="minorHAnsi"/>
          <w:szCs w:val="24"/>
        </w:rPr>
      </w:pPr>
      <w:r w:rsidRPr="00435BC3">
        <w:rPr>
          <w:rFonts w:asciiTheme="minorHAnsi" w:hAnsiTheme="minorHAnsi" w:cstheme="minorHAnsi"/>
          <w:szCs w:val="24"/>
        </w:rPr>
        <w:t xml:space="preserve">However, TSDISCOMs </w:t>
      </w:r>
      <w:r w:rsidR="006B6AC2" w:rsidRPr="00435BC3">
        <w:rPr>
          <w:rFonts w:asciiTheme="minorHAnsi" w:hAnsiTheme="minorHAnsi" w:cstheme="minorHAnsi"/>
          <w:szCs w:val="24"/>
        </w:rPr>
        <w:t>w</w:t>
      </w:r>
      <w:r w:rsidR="00CE4786" w:rsidRPr="00435BC3">
        <w:rPr>
          <w:rFonts w:asciiTheme="minorHAnsi" w:hAnsiTheme="minorHAnsi" w:cstheme="minorHAnsi"/>
          <w:szCs w:val="24"/>
        </w:rPr>
        <w:t>ere</w:t>
      </w:r>
      <w:r w:rsidR="006B6AC2" w:rsidRPr="00435BC3">
        <w:rPr>
          <w:rFonts w:asciiTheme="minorHAnsi" w:hAnsiTheme="minorHAnsi" w:cstheme="minorHAnsi"/>
          <w:szCs w:val="24"/>
        </w:rPr>
        <w:t xml:space="preserve"> unable to</w:t>
      </w:r>
      <w:r w:rsidRPr="00435BC3">
        <w:rPr>
          <w:rFonts w:asciiTheme="minorHAnsi" w:hAnsiTheme="minorHAnsi" w:cstheme="minorHAnsi"/>
          <w:szCs w:val="24"/>
        </w:rPr>
        <w:t xml:space="preserve"> file the Power Procurement plan </w:t>
      </w:r>
      <w:r w:rsidR="0048767A" w:rsidRPr="00435BC3">
        <w:rPr>
          <w:rFonts w:asciiTheme="minorHAnsi" w:hAnsiTheme="minorHAnsi" w:cstheme="minorHAnsi"/>
          <w:szCs w:val="24"/>
        </w:rPr>
        <w:t>before</w:t>
      </w:r>
      <w:r w:rsidRPr="00435BC3">
        <w:rPr>
          <w:rFonts w:asciiTheme="minorHAnsi" w:hAnsiTheme="minorHAnsi" w:cstheme="minorHAnsi"/>
          <w:szCs w:val="24"/>
        </w:rPr>
        <w:t xml:space="preserve"> the </w:t>
      </w:r>
      <w:r w:rsidR="0048767A" w:rsidRPr="00435BC3">
        <w:rPr>
          <w:rFonts w:asciiTheme="minorHAnsi" w:hAnsiTheme="minorHAnsi" w:cstheme="minorHAnsi"/>
          <w:szCs w:val="24"/>
        </w:rPr>
        <w:t xml:space="preserve">Hon’ble </w:t>
      </w:r>
      <w:r w:rsidRPr="00435BC3">
        <w:rPr>
          <w:rFonts w:asciiTheme="minorHAnsi" w:hAnsiTheme="minorHAnsi" w:cstheme="minorHAnsi"/>
          <w:szCs w:val="24"/>
        </w:rPr>
        <w:t xml:space="preserve">Commission </w:t>
      </w:r>
      <w:r w:rsidR="00727204" w:rsidRPr="00435BC3">
        <w:rPr>
          <w:rFonts w:asciiTheme="minorHAnsi" w:hAnsiTheme="minorHAnsi" w:cstheme="minorHAnsi"/>
          <w:szCs w:val="24"/>
        </w:rPr>
        <w:t xml:space="preserve">considering the </w:t>
      </w:r>
      <w:r w:rsidRPr="00435BC3">
        <w:rPr>
          <w:rFonts w:asciiTheme="minorHAnsi" w:hAnsiTheme="minorHAnsi" w:cstheme="minorHAnsi"/>
          <w:szCs w:val="24"/>
        </w:rPr>
        <w:t>following reason</w:t>
      </w:r>
      <w:r w:rsidR="00727204" w:rsidRPr="00435BC3">
        <w:rPr>
          <w:rFonts w:asciiTheme="minorHAnsi" w:hAnsiTheme="minorHAnsi" w:cstheme="minorHAnsi"/>
          <w:szCs w:val="24"/>
        </w:rPr>
        <w:t>s:</w:t>
      </w:r>
    </w:p>
    <w:p w:rsidR="0052000F" w:rsidRPr="00435BC3" w:rsidRDefault="0052000F" w:rsidP="00976D04">
      <w:pPr>
        <w:pStyle w:val="ListParagraph"/>
        <w:numPr>
          <w:ilvl w:val="0"/>
          <w:numId w:val="14"/>
        </w:numPr>
        <w:jc w:val="both"/>
        <w:rPr>
          <w:rFonts w:asciiTheme="minorHAnsi" w:hAnsiTheme="minorHAnsi" w:cstheme="minorHAnsi"/>
          <w:sz w:val="23"/>
          <w:szCs w:val="23"/>
        </w:rPr>
      </w:pPr>
      <w:r w:rsidRPr="00435BC3">
        <w:rPr>
          <w:rFonts w:asciiTheme="minorHAnsi" w:hAnsiTheme="minorHAnsi" w:cstheme="minorHAnsi"/>
        </w:rPr>
        <w:t>Hon’ble TSERC was not operational from 9</w:t>
      </w:r>
      <w:r w:rsidR="00A50CCA" w:rsidRPr="00435BC3">
        <w:rPr>
          <w:rFonts w:asciiTheme="minorHAnsi" w:hAnsiTheme="minorHAnsi" w:cstheme="minorHAnsi"/>
        </w:rPr>
        <w:t>.01.</w:t>
      </w:r>
      <w:r w:rsidRPr="00435BC3">
        <w:rPr>
          <w:rFonts w:asciiTheme="minorHAnsi" w:hAnsiTheme="minorHAnsi" w:cstheme="minorHAnsi"/>
        </w:rPr>
        <w:t>2019, after the Chairman of Hon’ble TSERC demitted office after attaining the age of 65 years.</w:t>
      </w:r>
    </w:p>
    <w:p w:rsidR="00F06FF6" w:rsidRPr="00435BC3" w:rsidRDefault="00F06FF6" w:rsidP="00976D04">
      <w:pPr>
        <w:pStyle w:val="ListParagraph"/>
        <w:numPr>
          <w:ilvl w:val="0"/>
          <w:numId w:val="14"/>
        </w:numPr>
        <w:jc w:val="both"/>
        <w:rPr>
          <w:rFonts w:asciiTheme="minorHAnsi" w:hAnsiTheme="minorHAnsi" w:cstheme="minorHAnsi"/>
          <w:sz w:val="23"/>
          <w:szCs w:val="23"/>
        </w:rPr>
      </w:pPr>
      <w:r w:rsidRPr="00435BC3">
        <w:rPr>
          <w:rFonts w:asciiTheme="minorHAnsi" w:hAnsiTheme="minorHAnsi" w:cstheme="minorHAnsi"/>
        </w:rPr>
        <w:t xml:space="preserve">Enforcement of Model Code of Conduct in the State of Telangana from 10.03.2019 till 23.05.2019 </w:t>
      </w:r>
      <w:r w:rsidR="00CD1ED2" w:rsidRPr="00435BC3">
        <w:rPr>
          <w:rFonts w:asciiTheme="minorHAnsi" w:hAnsiTheme="minorHAnsi" w:cstheme="minorHAnsi"/>
        </w:rPr>
        <w:t xml:space="preserve">in view of </w:t>
      </w:r>
      <w:r w:rsidRPr="00435BC3">
        <w:rPr>
          <w:rFonts w:asciiTheme="minorHAnsi" w:hAnsiTheme="minorHAnsi" w:cstheme="minorHAnsi"/>
        </w:rPr>
        <w:t>Lok Sabha election.</w:t>
      </w:r>
    </w:p>
    <w:p w:rsidR="007D262B" w:rsidRPr="00435BC3" w:rsidRDefault="00331242" w:rsidP="00976D04">
      <w:pPr>
        <w:pStyle w:val="ListParagraph"/>
        <w:numPr>
          <w:ilvl w:val="0"/>
          <w:numId w:val="14"/>
        </w:numPr>
        <w:jc w:val="both"/>
        <w:rPr>
          <w:rFonts w:asciiTheme="minorHAnsi" w:hAnsiTheme="minorHAnsi" w:cstheme="minorHAnsi"/>
          <w:sz w:val="23"/>
          <w:szCs w:val="23"/>
        </w:rPr>
      </w:pPr>
      <w:r w:rsidRPr="00435BC3">
        <w:rPr>
          <w:rFonts w:asciiTheme="minorHAnsi" w:hAnsiTheme="minorHAnsi" w:cstheme="minorHAnsi"/>
        </w:rPr>
        <w:t>Enforcement</w:t>
      </w:r>
      <w:r w:rsidR="00F06FF6" w:rsidRPr="00435BC3">
        <w:rPr>
          <w:rFonts w:asciiTheme="minorHAnsi" w:hAnsiTheme="minorHAnsi" w:cstheme="minorHAnsi"/>
        </w:rPr>
        <w:t xml:space="preserve"> of </w:t>
      </w:r>
      <w:r w:rsidR="007013C5" w:rsidRPr="00435BC3">
        <w:rPr>
          <w:rFonts w:asciiTheme="minorHAnsi" w:hAnsiTheme="minorHAnsi" w:cstheme="minorHAnsi"/>
        </w:rPr>
        <w:t>M</w:t>
      </w:r>
      <w:r w:rsidR="00F06FF6" w:rsidRPr="00435BC3">
        <w:rPr>
          <w:rFonts w:asciiTheme="minorHAnsi" w:hAnsiTheme="minorHAnsi" w:cstheme="minorHAnsi"/>
        </w:rPr>
        <w:t xml:space="preserve">odel </w:t>
      </w:r>
      <w:r w:rsidR="007013C5" w:rsidRPr="00435BC3">
        <w:rPr>
          <w:rFonts w:asciiTheme="minorHAnsi" w:hAnsiTheme="minorHAnsi" w:cstheme="minorHAnsi"/>
        </w:rPr>
        <w:t>C</w:t>
      </w:r>
      <w:r w:rsidR="00F06FF6" w:rsidRPr="00435BC3">
        <w:rPr>
          <w:rFonts w:asciiTheme="minorHAnsi" w:hAnsiTheme="minorHAnsi" w:cstheme="minorHAnsi"/>
        </w:rPr>
        <w:t xml:space="preserve">ode of </w:t>
      </w:r>
      <w:r w:rsidR="0087622B" w:rsidRPr="00435BC3">
        <w:rPr>
          <w:rFonts w:asciiTheme="minorHAnsi" w:hAnsiTheme="minorHAnsi" w:cstheme="minorHAnsi"/>
        </w:rPr>
        <w:t>C</w:t>
      </w:r>
      <w:r w:rsidR="00F06FF6" w:rsidRPr="00435BC3">
        <w:rPr>
          <w:rFonts w:asciiTheme="minorHAnsi" w:hAnsiTheme="minorHAnsi" w:cstheme="minorHAnsi"/>
        </w:rPr>
        <w:t>onduct for the Municipal elections from 23.12.2019 to 25.01.2020.</w:t>
      </w:r>
    </w:p>
    <w:p w:rsidR="00C15F17" w:rsidRPr="00435BC3" w:rsidRDefault="00C15F17" w:rsidP="00976D04">
      <w:pPr>
        <w:pStyle w:val="ListParagraph"/>
        <w:ind w:left="1800"/>
        <w:jc w:val="both"/>
        <w:rPr>
          <w:rFonts w:asciiTheme="minorHAnsi" w:hAnsiTheme="minorHAnsi" w:cstheme="minorHAnsi"/>
          <w:sz w:val="23"/>
          <w:szCs w:val="23"/>
        </w:rPr>
      </w:pPr>
    </w:p>
    <w:p w:rsidR="00774104" w:rsidRDefault="007D262B" w:rsidP="00976D04">
      <w:pPr>
        <w:jc w:val="both"/>
        <w:rPr>
          <w:rFonts w:asciiTheme="minorHAnsi" w:hAnsiTheme="minorHAnsi" w:cstheme="minorHAnsi"/>
          <w:szCs w:val="24"/>
        </w:rPr>
      </w:pPr>
      <w:r w:rsidRPr="00435BC3">
        <w:rPr>
          <w:rFonts w:asciiTheme="minorHAnsi" w:hAnsiTheme="minorHAnsi" w:cstheme="minorHAnsi"/>
          <w:szCs w:val="24"/>
        </w:rPr>
        <w:t>S</w:t>
      </w:r>
      <w:r w:rsidR="00057812" w:rsidRPr="00435BC3">
        <w:rPr>
          <w:rFonts w:asciiTheme="minorHAnsi" w:hAnsiTheme="minorHAnsi" w:cstheme="minorHAnsi"/>
          <w:szCs w:val="24"/>
        </w:rPr>
        <w:t>ince</w:t>
      </w:r>
      <w:r w:rsidR="00727204" w:rsidRPr="00435BC3">
        <w:rPr>
          <w:rFonts w:asciiTheme="minorHAnsi" w:hAnsiTheme="minorHAnsi" w:cstheme="minorHAnsi"/>
          <w:szCs w:val="24"/>
        </w:rPr>
        <w:t xml:space="preserve"> the TSDISCOMs </w:t>
      </w:r>
      <w:r w:rsidR="007047DC" w:rsidRPr="00435BC3">
        <w:rPr>
          <w:rFonts w:asciiTheme="minorHAnsi" w:hAnsiTheme="minorHAnsi" w:cstheme="minorHAnsi"/>
          <w:szCs w:val="24"/>
        </w:rPr>
        <w:t>were</w:t>
      </w:r>
      <w:r w:rsidR="005C13CF" w:rsidRPr="00435BC3">
        <w:rPr>
          <w:rFonts w:asciiTheme="minorHAnsi" w:hAnsiTheme="minorHAnsi" w:cstheme="minorHAnsi"/>
          <w:szCs w:val="24"/>
        </w:rPr>
        <w:t xml:space="preserve"> unable to</w:t>
      </w:r>
      <w:r w:rsidR="00727204" w:rsidRPr="00435BC3">
        <w:rPr>
          <w:rFonts w:asciiTheme="minorHAnsi" w:hAnsiTheme="minorHAnsi" w:cstheme="minorHAnsi"/>
          <w:szCs w:val="24"/>
        </w:rPr>
        <w:t xml:space="preserve"> file power procurement plan for the 4</w:t>
      </w:r>
      <w:r w:rsidR="00727204" w:rsidRPr="00435BC3">
        <w:rPr>
          <w:rFonts w:asciiTheme="minorHAnsi" w:hAnsiTheme="minorHAnsi" w:cstheme="minorHAnsi"/>
          <w:szCs w:val="24"/>
          <w:vertAlign w:val="superscript"/>
        </w:rPr>
        <w:t>th</w:t>
      </w:r>
      <w:r w:rsidR="00727204" w:rsidRPr="00435BC3">
        <w:rPr>
          <w:rFonts w:asciiTheme="minorHAnsi" w:hAnsiTheme="minorHAnsi" w:cstheme="minorHAnsi"/>
          <w:szCs w:val="24"/>
        </w:rPr>
        <w:t xml:space="preserve"> Control period, </w:t>
      </w:r>
      <w:r w:rsidR="00031C34" w:rsidRPr="00435BC3">
        <w:rPr>
          <w:rFonts w:asciiTheme="minorHAnsi" w:hAnsiTheme="minorHAnsi" w:cstheme="minorHAnsi"/>
          <w:szCs w:val="24"/>
        </w:rPr>
        <w:t>the</w:t>
      </w:r>
      <w:r w:rsidR="009E2620" w:rsidRPr="00435BC3">
        <w:rPr>
          <w:rFonts w:asciiTheme="minorHAnsi" w:hAnsiTheme="minorHAnsi" w:cstheme="minorHAnsi"/>
          <w:szCs w:val="24"/>
        </w:rPr>
        <w:t>re has been</w:t>
      </w:r>
      <w:r w:rsidR="00786238" w:rsidRPr="00435BC3">
        <w:rPr>
          <w:rFonts w:asciiTheme="minorHAnsi" w:hAnsiTheme="minorHAnsi" w:cstheme="minorHAnsi"/>
          <w:szCs w:val="24"/>
        </w:rPr>
        <w:t xml:space="preserve"> no approval of such power procurement plan by the Hon’ble Commission.</w:t>
      </w:r>
      <w:r w:rsidR="00B628E8" w:rsidRPr="00435BC3">
        <w:rPr>
          <w:rFonts w:asciiTheme="minorHAnsi" w:hAnsiTheme="minorHAnsi" w:cstheme="minorHAnsi"/>
          <w:szCs w:val="24"/>
        </w:rPr>
        <w:t xml:space="preserve"> In the absence of the approved</w:t>
      </w:r>
      <w:r w:rsidR="00031C34" w:rsidRPr="00435BC3">
        <w:rPr>
          <w:rFonts w:asciiTheme="minorHAnsi" w:hAnsiTheme="minorHAnsi" w:cstheme="minorHAnsi"/>
          <w:szCs w:val="24"/>
        </w:rPr>
        <w:t xml:space="preserve"> </w:t>
      </w:r>
      <w:r w:rsidR="00C70E91" w:rsidRPr="00435BC3">
        <w:rPr>
          <w:rFonts w:asciiTheme="minorHAnsi" w:hAnsiTheme="minorHAnsi" w:cstheme="minorHAnsi"/>
          <w:szCs w:val="24"/>
        </w:rPr>
        <w:t xml:space="preserve">power procurement plan </w:t>
      </w:r>
      <w:r w:rsidR="00031C34" w:rsidRPr="00435BC3">
        <w:rPr>
          <w:rFonts w:asciiTheme="minorHAnsi" w:hAnsiTheme="minorHAnsi" w:cstheme="minorHAnsi"/>
          <w:szCs w:val="24"/>
        </w:rPr>
        <w:t>for the 4</w:t>
      </w:r>
      <w:r w:rsidR="00031C34" w:rsidRPr="00435BC3">
        <w:rPr>
          <w:rFonts w:asciiTheme="minorHAnsi" w:hAnsiTheme="minorHAnsi" w:cstheme="minorHAnsi"/>
          <w:szCs w:val="24"/>
          <w:vertAlign w:val="superscript"/>
        </w:rPr>
        <w:t>th</w:t>
      </w:r>
      <w:r w:rsidR="00031C34" w:rsidRPr="00435BC3">
        <w:rPr>
          <w:rFonts w:asciiTheme="minorHAnsi" w:hAnsiTheme="minorHAnsi" w:cstheme="minorHAnsi"/>
          <w:szCs w:val="24"/>
        </w:rPr>
        <w:t xml:space="preserve"> Control Period, </w:t>
      </w:r>
      <w:r w:rsidR="00FD3B31" w:rsidRPr="00435BC3">
        <w:rPr>
          <w:rFonts w:asciiTheme="minorHAnsi" w:hAnsiTheme="minorHAnsi" w:cstheme="minorHAnsi"/>
          <w:szCs w:val="24"/>
        </w:rPr>
        <w:t>the comparison of</w:t>
      </w:r>
      <w:r w:rsidR="00031C34" w:rsidRPr="00435BC3">
        <w:rPr>
          <w:rFonts w:asciiTheme="minorHAnsi" w:hAnsiTheme="minorHAnsi" w:cstheme="minorHAnsi"/>
          <w:szCs w:val="24"/>
        </w:rPr>
        <w:t xml:space="preserve"> the actual </w:t>
      </w:r>
      <w:r w:rsidR="00FD3B31" w:rsidRPr="00435BC3">
        <w:rPr>
          <w:rFonts w:asciiTheme="minorHAnsi" w:hAnsiTheme="minorHAnsi" w:cstheme="minorHAnsi"/>
          <w:szCs w:val="24"/>
        </w:rPr>
        <w:t xml:space="preserve">power procurement </w:t>
      </w:r>
      <w:r w:rsidR="005510EA" w:rsidRPr="00435BC3">
        <w:rPr>
          <w:rFonts w:asciiTheme="minorHAnsi" w:hAnsiTheme="minorHAnsi" w:cstheme="minorHAnsi"/>
          <w:szCs w:val="24"/>
        </w:rPr>
        <w:t>with the approved power procurement plan is infeasible</w:t>
      </w:r>
      <w:r w:rsidR="00031C34" w:rsidRPr="00435BC3">
        <w:rPr>
          <w:rFonts w:asciiTheme="minorHAnsi" w:hAnsiTheme="minorHAnsi" w:cstheme="minorHAnsi"/>
          <w:szCs w:val="24"/>
        </w:rPr>
        <w:t>.</w:t>
      </w:r>
      <w:r w:rsidR="00B90A61" w:rsidRPr="00435BC3">
        <w:rPr>
          <w:rFonts w:asciiTheme="minorHAnsi" w:hAnsiTheme="minorHAnsi" w:cstheme="minorHAnsi"/>
          <w:szCs w:val="24"/>
        </w:rPr>
        <w:t xml:space="preserve"> </w:t>
      </w:r>
      <w:r w:rsidR="00EA3853" w:rsidRPr="00435BC3">
        <w:rPr>
          <w:rFonts w:asciiTheme="minorHAnsi" w:hAnsiTheme="minorHAnsi" w:cstheme="minorHAnsi"/>
          <w:szCs w:val="24"/>
        </w:rPr>
        <w:t>In the absence of approval of power procurement plan</w:t>
      </w:r>
      <w:r w:rsidR="00804835" w:rsidRPr="00435BC3">
        <w:rPr>
          <w:rFonts w:asciiTheme="minorHAnsi" w:hAnsiTheme="minorHAnsi" w:cstheme="minorHAnsi"/>
          <w:szCs w:val="24"/>
        </w:rPr>
        <w:t xml:space="preserve">, other possibility of </w:t>
      </w:r>
      <w:r w:rsidR="00014F49" w:rsidRPr="00435BC3">
        <w:rPr>
          <w:rFonts w:asciiTheme="minorHAnsi" w:hAnsiTheme="minorHAnsi" w:cstheme="minorHAnsi"/>
          <w:szCs w:val="24"/>
        </w:rPr>
        <w:t xml:space="preserve">analyzing the </w:t>
      </w:r>
      <w:r w:rsidR="00B507BE" w:rsidRPr="00435BC3">
        <w:rPr>
          <w:rFonts w:asciiTheme="minorHAnsi" w:hAnsiTheme="minorHAnsi" w:cstheme="minorHAnsi"/>
          <w:szCs w:val="24"/>
        </w:rPr>
        <w:t xml:space="preserve">power </w:t>
      </w:r>
    </w:p>
    <w:p w:rsidR="00774104" w:rsidRDefault="00774104" w:rsidP="00976D04">
      <w:pPr>
        <w:jc w:val="both"/>
        <w:rPr>
          <w:rFonts w:asciiTheme="minorHAnsi" w:hAnsiTheme="minorHAnsi" w:cstheme="minorHAnsi"/>
          <w:szCs w:val="24"/>
        </w:rPr>
      </w:pPr>
    </w:p>
    <w:p w:rsidR="00031C34" w:rsidRPr="00435BC3" w:rsidRDefault="00B507BE" w:rsidP="00976D04">
      <w:pPr>
        <w:jc w:val="both"/>
        <w:rPr>
          <w:rFonts w:asciiTheme="minorHAnsi" w:hAnsiTheme="minorHAnsi" w:cstheme="minorHAnsi"/>
          <w:sz w:val="28"/>
          <w:szCs w:val="24"/>
        </w:rPr>
      </w:pPr>
      <w:r w:rsidRPr="00435BC3">
        <w:rPr>
          <w:rFonts w:asciiTheme="minorHAnsi" w:hAnsiTheme="minorHAnsi" w:cstheme="minorHAnsi"/>
          <w:szCs w:val="24"/>
        </w:rPr>
        <w:lastRenderedPageBreak/>
        <w:t xml:space="preserve">procurement in the </w:t>
      </w:r>
      <w:r w:rsidR="00014F49" w:rsidRPr="00435BC3">
        <w:rPr>
          <w:rFonts w:asciiTheme="minorHAnsi" w:hAnsiTheme="minorHAnsi" w:cstheme="minorHAnsi"/>
          <w:szCs w:val="24"/>
        </w:rPr>
        <w:t>4</w:t>
      </w:r>
      <w:r w:rsidR="00014F49" w:rsidRPr="00435BC3">
        <w:rPr>
          <w:rFonts w:asciiTheme="minorHAnsi" w:hAnsiTheme="minorHAnsi" w:cstheme="minorHAnsi"/>
          <w:szCs w:val="24"/>
          <w:vertAlign w:val="superscript"/>
        </w:rPr>
        <w:t>th</w:t>
      </w:r>
      <w:r w:rsidR="00014F49" w:rsidRPr="00435BC3">
        <w:rPr>
          <w:rFonts w:asciiTheme="minorHAnsi" w:hAnsiTheme="minorHAnsi" w:cstheme="minorHAnsi"/>
          <w:szCs w:val="24"/>
        </w:rPr>
        <w:t xml:space="preserve"> Control Period is by considering the </w:t>
      </w:r>
      <w:r w:rsidR="0076054F" w:rsidRPr="00435BC3">
        <w:rPr>
          <w:rFonts w:asciiTheme="minorHAnsi" w:hAnsiTheme="minorHAnsi" w:cstheme="minorHAnsi"/>
          <w:szCs w:val="24"/>
        </w:rPr>
        <w:t>submissions made by TSDISCOMs in their ARR- filings.</w:t>
      </w:r>
      <w:r w:rsidR="00804835" w:rsidRPr="00435BC3">
        <w:rPr>
          <w:rFonts w:asciiTheme="minorHAnsi" w:hAnsiTheme="minorHAnsi" w:cstheme="minorHAnsi"/>
          <w:szCs w:val="24"/>
        </w:rPr>
        <w:t xml:space="preserve"> </w:t>
      </w:r>
    </w:p>
    <w:p w:rsidR="00057812" w:rsidRPr="00435BC3" w:rsidRDefault="00057812" w:rsidP="00976D04">
      <w:pPr>
        <w:pStyle w:val="ListParagraph"/>
        <w:ind w:left="360"/>
        <w:rPr>
          <w:rFonts w:asciiTheme="minorHAnsi" w:hAnsiTheme="minorHAnsi" w:cstheme="minorHAnsi"/>
        </w:rPr>
      </w:pPr>
    </w:p>
    <w:p w:rsidR="00D33F35" w:rsidRPr="00435BC3" w:rsidRDefault="00173F3B" w:rsidP="00976D04">
      <w:pPr>
        <w:jc w:val="both"/>
        <w:rPr>
          <w:rFonts w:asciiTheme="minorHAnsi" w:hAnsiTheme="minorHAnsi" w:cstheme="minorHAnsi"/>
          <w:sz w:val="23"/>
          <w:szCs w:val="23"/>
        </w:rPr>
      </w:pPr>
      <w:r w:rsidRPr="00435BC3">
        <w:rPr>
          <w:rFonts w:asciiTheme="minorHAnsi" w:hAnsiTheme="minorHAnsi" w:cstheme="minorHAnsi"/>
        </w:rPr>
        <w:t>F</w:t>
      </w:r>
      <w:r w:rsidR="002F3B1E" w:rsidRPr="00435BC3">
        <w:rPr>
          <w:rFonts w:asciiTheme="minorHAnsi" w:hAnsiTheme="minorHAnsi" w:cstheme="minorHAnsi"/>
        </w:rPr>
        <w:t>or FY 2019-20, FY 2020-21</w:t>
      </w:r>
      <w:r w:rsidRPr="00435BC3">
        <w:rPr>
          <w:rFonts w:asciiTheme="minorHAnsi" w:hAnsiTheme="minorHAnsi" w:cstheme="minorHAnsi"/>
        </w:rPr>
        <w:t xml:space="preserve"> and</w:t>
      </w:r>
      <w:r w:rsidR="002F3B1E" w:rsidRPr="00435BC3">
        <w:rPr>
          <w:rFonts w:asciiTheme="minorHAnsi" w:hAnsiTheme="minorHAnsi" w:cstheme="minorHAnsi"/>
        </w:rPr>
        <w:t xml:space="preserve"> FY 2021-22 </w:t>
      </w:r>
      <w:r w:rsidR="00410E39" w:rsidRPr="00435BC3">
        <w:rPr>
          <w:rFonts w:asciiTheme="minorHAnsi" w:hAnsiTheme="minorHAnsi" w:cstheme="minorHAnsi"/>
        </w:rPr>
        <w:t xml:space="preserve">TSDICOMs </w:t>
      </w:r>
      <w:r w:rsidR="00A802F5" w:rsidRPr="00435BC3">
        <w:rPr>
          <w:rFonts w:asciiTheme="minorHAnsi" w:hAnsiTheme="minorHAnsi" w:cstheme="minorHAnsi"/>
        </w:rPr>
        <w:t>were unable to</w:t>
      </w:r>
      <w:r w:rsidR="00410E39" w:rsidRPr="00435BC3">
        <w:rPr>
          <w:rFonts w:asciiTheme="minorHAnsi" w:hAnsiTheme="minorHAnsi" w:cstheme="minorHAnsi"/>
        </w:rPr>
        <w:t xml:space="preserve"> </w:t>
      </w:r>
      <w:r w:rsidR="00C253B9" w:rsidRPr="00435BC3">
        <w:rPr>
          <w:rFonts w:asciiTheme="minorHAnsi" w:hAnsiTheme="minorHAnsi" w:cstheme="minorHAnsi"/>
        </w:rPr>
        <w:t xml:space="preserve">submit the ARR filings before the Hon’ble Commission within the timelines </w:t>
      </w:r>
      <w:r w:rsidR="00931608" w:rsidRPr="00435BC3">
        <w:rPr>
          <w:rFonts w:asciiTheme="minorHAnsi" w:hAnsiTheme="minorHAnsi" w:cstheme="minorHAnsi"/>
        </w:rPr>
        <w:t>as per Regulation No. 4 of 2005</w:t>
      </w:r>
      <w:r w:rsidR="00DD628E" w:rsidRPr="00435BC3">
        <w:rPr>
          <w:rFonts w:asciiTheme="minorHAnsi" w:hAnsiTheme="minorHAnsi" w:cstheme="minorHAnsi"/>
        </w:rPr>
        <w:t xml:space="preserve"> on account of</w:t>
      </w:r>
      <w:r w:rsidR="00CE4622" w:rsidRPr="00435BC3">
        <w:rPr>
          <w:rFonts w:asciiTheme="minorHAnsi" w:hAnsiTheme="minorHAnsi" w:cstheme="minorHAnsi"/>
        </w:rPr>
        <w:t xml:space="preserve"> factors which were beyond the control of TSDISCOMs. </w:t>
      </w:r>
      <w:r w:rsidR="002F1220" w:rsidRPr="00435BC3">
        <w:rPr>
          <w:rFonts w:asciiTheme="minorHAnsi" w:hAnsiTheme="minorHAnsi" w:cstheme="minorHAnsi"/>
        </w:rPr>
        <w:t>Subsequently, t</w:t>
      </w:r>
      <w:r w:rsidR="00F14334" w:rsidRPr="00435BC3">
        <w:rPr>
          <w:rFonts w:asciiTheme="minorHAnsi" w:hAnsiTheme="minorHAnsi" w:cstheme="minorHAnsi"/>
        </w:rPr>
        <w:t xml:space="preserve">he </w:t>
      </w:r>
      <w:r w:rsidR="002F1220" w:rsidRPr="00435BC3">
        <w:rPr>
          <w:rFonts w:asciiTheme="minorHAnsi" w:hAnsiTheme="minorHAnsi" w:cstheme="minorHAnsi"/>
        </w:rPr>
        <w:t xml:space="preserve">ARR filings FY 2019-20, FY 2020-21 and FY 2021-22 </w:t>
      </w:r>
      <w:r w:rsidR="00F14334" w:rsidRPr="00435BC3">
        <w:rPr>
          <w:rFonts w:asciiTheme="minorHAnsi" w:hAnsiTheme="minorHAnsi" w:cstheme="minorHAnsi"/>
        </w:rPr>
        <w:t>were</w:t>
      </w:r>
      <w:r w:rsidR="00855499" w:rsidRPr="00435BC3">
        <w:rPr>
          <w:rFonts w:asciiTheme="minorHAnsi" w:hAnsiTheme="minorHAnsi" w:cstheme="minorHAnsi"/>
        </w:rPr>
        <w:t xml:space="preserve"> submitted </w:t>
      </w:r>
      <w:r w:rsidR="002F3B1E" w:rsidRPr="00435BC3">
        <w:rPr>
          <w:rFonts w:asciiTheme="minorHAnsi" w:hAnsiTheme="minorHAnsi" w:cstheme="minorHAnsi"/>
        </w:rPr>
        <w:t xml:space="preserve">before </w:t>
      </w:r>
      <w:r w:rsidR="00503A41" w:rsidRPr="00435BC3">
        <w:rPr>
          <w:rFonts w:asciiTheme="minorHAnsi" w:hAnsiTheme="minorHAnsi" w:cstheme="minorHAnsi"/>
        </w:rPr>
        <w:t xml:space="preserve">the Hon’ble Commission </w:t>
      </w:r>
      <w:r w:rsidR="002F3B1E" w:rsidRPr="00435BC3">
        <w:rPr>
          <w:rFonts w:asciiTheme="minorHAnsi" w:hAnsiTheme="minorHAnsi" w:cstheme="minorHAnsi"/>
        </w:rPr>
        <w:t>on 31</w:t>
      </w:r>
      <w:r w:rsidR="00503A41" w:rsidRPr="00435BC3">
        <w:rPr>
          <w:rFonts w:asciiTheme="minorHAnsi" w:hAnsiTheme="minorHAnsi" w:cstheme="minorHAnsi"/>
        </w:rPr>
        <w:t>.03.</w:t>
      </w:r>
      <w:r w:rsidR="002F3B1E" w:rsidRPr="00435BC3">
        <w:rPr>
          <w:rFonts w:asciiTheme="minorHAnsi" w:hAnsiTheme="minorHAnsi" w:cstheme="minorHAnsi"/>
        </w:rPr>
        <w:t>2021</w:t>
      </w:r>
      <w:r w:rsidR="00825103" w:rsidRPr="00435BC3">
        <w:rPr>
          <w:rFonts w:asciiTheme="minorHAnsi" w:hAnsiTheme="minorHAnsi" w:cstheme="minorHAnsi"/>
        </w:rPr>
        <w:t>, however, the same</w:t>
      </w:r>
      <w:r w:rsidR="002F3B1E" w:rsidRPr="00435BC3">
        <w:rPr>
          <w:rFonts w:asciiTheme="minorHAnsi" w:hAnsiTheme="minorHAnsi" w:cstheme="minorHAnsi"/>
        </w:rPr>
        <w:t xml:space="preserve"> w</w:t>
      </w:r>
      <w:r w:rsidR="00825103" w:rsidRPr="00435BC3">
        <w:rPr>
          <w:rFonts w:asciiTheme="minorHAnsi" w:hAnsiTheme="minorHAnsi" w:cstheme="minorHAnsi"/>
        </w:rPr>
        <w:t>ere</w:t>
      </w:r>
      <w:r w:rsidR="002F3B1E" w:rsidRPr="00435BC3">
        <w:rPr>
          <w:rFonts w:asciiTheme="minorHAnsi" w:hAnsiTheme="minorHAnsi" w:cstheme="minorHAnsi"/>
        </w:rPr>
        <w:t xml:space="preserve"> not admitted by the Hon’ble Commission due to non-submission of tariff proposals by the TS Discoms</w:t>
      </w:r>
      <w:r w:rsidR="00D320D2" w:rsidRPr="00435BC3">
        <w:rPr>
          <w:rFonts w:asciiTheme="minorHAnsi" w:hAnsiTheme="minorHAnsi" w:cstheme="minorHAnsi"/>
        </w:rPr>
        <w:t xml:space="preserve">. </w:t>
      </w:r>
      <w:r w:rsidR="00164E21" w:rsidRPr="00435BC3">
        <w:rPr>
          <w:rFonts w:asciiTheme="minorHAnsi" w:hAnsiTheme="minorHAnsi" w:cstheme="minorHAnsi"/>
        </w:rPr>
        <w:t>In view of the non approval of the power procurement plan for</w:t>
      </w:r>
      <w:r w:rsidR="00D326B1" w:rsidRPr="00435BC3">
        <w:rPr>
          <w:rFonts w:asciiTheme="minorHAnsi" w:hAnsiTheme="minorHAnsi" w:cstheme="minorHAnsi"/>
        </w:rPr>
        <w:t xml:space="preserve"> FY 2019-20, FY 2020-21 and FY 2021-22, TSDISCOMs in this </w:t>
      </w:r>
      <w:r w:rsidR="00F56ADA" w:rsidRPr="00435BC3">
        <w:rPr>
          <w:rFonts w:asciiTheme="minorHAnsi" w:hAnsiTheme="minorHAnsi" w:cstheme="minorHAnsi"/>
        </w:rPr>
        <w:t>analysis is considering the submissions made by them in filings which were made before the Hon’ble Commission on 31.03.2021.</w:t>
      </w:r>
    </w:p>
    <w:p w:rsidR="00B507BE" w:rsidRPr="00435BC3" w:rsidRDefault="00832B59" w:rsidP="00976D04">
      <w:pPr>
        <w:jc w:val="both"/>
        <w:rPr>
          <w:rFonts w:asciiTheme="minorHAnsi" w:hAnsiTheme="minorHAnsi" w:cstheme="minorHAnsi"/>
          <w:sz w:val="23"/>
          <w:szCs w:val="23"/>
        </w:rPr>
      </w:pPr>
      <w:r w:rsidRPr="00435BC3">
        <w:rPr>
          <w:rFonts w:asciiTheme="minorHAnsi" w:hAnsiTheme="minorHAnsi" w:cstheme="minorHAnsi"/>
        </w:rPr>
        <w:t>Further, i</w:t>
      </w:r>
      <w:r w:rsidR="003E2189" w:rsidRPr="00435BC3">
        <w:rPr>
          <w:rFonts w:asciiTheme="minorHAnsi" w:hAnsiTheme="minorHAnsi" w:cstheme="minorHAnsi"/>
        </w:rPr>
        <w:t>n the absence of</w:t>
      </w:r>
      <w:r w:rsidR="00D320D2" w:rsidRPr="00435BC3">
        <w:rPr>
          <w:rFonts w:asciiTheme="minorHAnsi" w:hAnsiTheme="minorHAnsi" w:cstheme="minorHAnsi"/>
        </w:rPr>
        <w:t xml:space="preserve"> the approved figures for the power</w:t>
      </w:r>
      <w:r w:rsidR="00891B32" w:rsidRPr="00435BC3">
        <w:rPr>
          <w:rFonts w:asciiTheme="minorHAnsi" w:hAnsiTheme="minorHAnsi" w:cstheme="minorHAnsi"/>
        </w:rPr>
        <w:t xml:space="preserve"> </w:t>
      </w:r>
      <w:r w:rsidR="00B01DC8" w:rsidRPr="00435BC3">
        <w:rPr>
          <w:rFonts w:asciiTheme="minorHAnsi" w:hAnsiTheme="minorHAnsi" w:cstheme="minorHAnsi"/>
        </w:rPr>
        <w:t>procurement</w:t>
      </w:r>
      <w:r w:rsidR="007966B6" w:rsidRPr="00435BC3">
        <w:rPr>
          <w:rFonts w:asciiTheme="minorHAnsi" w:hAnsiTheme="minorHAnsi" w:cstheme="minorHAnsi"/>
        </w:rPr>
        <w:t xml:space="preserve"> </w:t>
      </w:r>
      <w:r w:rsidR="004F19CB" w:rsidRPr="00435BC3">
        <w:rPr>
          <w:rFonts w:asciiTheme="minorHAnsi" w:hAnsiTheme="minorHAnsi" w:cstheme="minorHAnsi"/>
        </w:rPr>
        <w:t>for FY 2019-20, FY 202</w:t>
      </w:r>
      <w:r w:rsidR="005378D7" w:rsidRPr="00435BC3">
        <w:rPr>
          <w:rFonts w:asciiTheme="minorHAnsi" w:hAnsiTheme="minorHAnsi" w:cstheme="minorHAnsi"/>
        </w:rPr>
        <w:t>0</w:t>
      </w:r>
      <w:r w:rsidR="004F19CB" w:rsidRPr="00435BC3">
        <w:rPr>
          <w:rFonts w:asciiTheme="minorHAnsi" w:hAnsiTheme="minorHAnsi" w:cstheme="minorHAnsi"/>
        </w:rPr>
        <w:t>-2</w:t>
      </w:r>
      <w:r w:rsidR="005378D7" w:rsidRPr="00435BC3">
        <w:rPr>
          <w:rFonts w:asciiTheme="minorHAnsi" w:hAnsiTheme="minorHAnsi" w:cstheme="minorHAnsi"/>
        </w:rPr>
        <w:t>1</w:t>
      </w:r>
      <w:r w:rsidR="004F19CB" w:rsidRPr="00435BC3">
        <w:rPr>
          <w:rFonts w:asciiTheme="minorHAnsi" w:hAnsiTheme="minorHAnsi" w:cstheme="minorHAnsi"/>
        </w:rPr>
        <w:t xml:space="preserve"> </w:t>
      </w:r>
      <w:r w:rsidR="00243ED9" w:rsidRPr="00435BC3">
        <w:rPr>
          <w:rFonts w:asciiTheme="minorHAnsi" w:hAnsiTheme="minorHAnsi" w:cstheme="minorHAnsi"/>
        </w:rPr>
        <w:t>and</w:t>
      </w:r>
      <w:r w:rsidR="004F19CB" w:rsidRPr="00435BC3">
        <w:rPr>
          <w:rFonts w:asciiTheme="minorHAnsi" w:hAnsiTheme="minorHAnsi" w:cstheme="minorHAnsi"/>
        </w:rPr>
        <w:t xml:space="preserve"> F</w:t>
      </w:r>
      <w:r w:rsidR="00A074F9" w:rsidRPr="00435BC3">
        <w:rPr>
          <w:rFonts w:asciiTheme="minorHAnsi" w:hAnsiTheme="minorHAnsi" w:cstheme="minorHAnsi"/>
        </w:rPr>
        <w:t>Y</w:t>
      </w:r>
      <w:r w:rsidR="004F19CB" w:rsidRPr="00435BC3">
        <w:rPr>
          <w:rFonts w:asciiTheme="minorHAnsi" w:hAnsiTheme="minorHAnsi" w:cstheme="minorHAnsi"/>
        </w:rPr>
        <w:t xml:space="preserve"> 202</w:t>
      </w:r>
      <w:r w:rsidR="005378D7" w:rsidRPr="00435BC3">
        <w:rPr>
          <w:rFonts w:asciiTheme="minorHAnsi" w:hAnsiTheme="minorHAnsi" w:cstheme="minorHAnsi"/>
        </w:rPr>
        <w:t>1</w:t>
      </w:r>
      <w:r w:rsidR="004F19CB" w:rsidRPr="00435BC3">
        <w:rPr>
          <w:rFonts w:asciiTheme="minorHAnsi" w:hAnsiTheme="minorHAnsi" w:cstheme="minorHAnsi"/>
        </w:rPr>
        <w:t>-2</w:t>
      </w:r>
      <w:r w:rsidR="005378D7" w:rsidRPr="00435BC3">
        <w:rPr>
          <w:rFonts w:asciiTheme="minorHAnsi" w:hAnsiTheme="minorHAnsi" w:cstheme="minorHAnsi"/>
        </w:rPr>
        <w:t>2</w:t>
      </w:r>
      <w:r w:rsidRPr="00435BC3">
        <w:rPr>
          <w:rFonts w:asciiTheme="minorHAnsi" w:hAnsiTheme="minorHAnsi" w:cstheme="minorHAnsi"/>
        </w:rPr>
        <w:t xml:space="preserve">, the approved values </w:t>
      </w:r>
      <w:r w:rsidR="00243ED9" w:rsidRPr="00435BC3">
        <w:rPr>
          <w:rFonts w:asciiTheme="minorHAnsi" w:hAnsiTheme="minorHAnsi" w:cstheme="minorHAnsi"/>
          <w:sz w:val="23"/>
          <w:szCs w:val="23"/>
        </w:rPr>
        <w:t>of the</w:t>
      </w:r>
      <w:r w:rsidR="001F05B6" w:rsidRPr="00435BC3">
        <w:rPr>
          <w:rFonts w:asciiTheme="minorHAnsi" w:hAnsiTheme="minorHAnsi" w:cstheme="minorHAnsi"/>
          <w:sz w:val="23"/>
          <w:szCs w:val="23"/>
        </w:rPr>
        <w:t xml:space="preserve"> power</w:t>
      </w:r>
      <w:r w:rsidR="00243ED9" w:rsidRPr="00435BC3">
        <w:rPr>
          <w:rFonts w:asciiTheme="minorHAnsi" w:hAnsiTheme="minorHAnsi" w:cstheme="minorHAnsi"/>
          <w:sz w:val="23"/>
          <w:szCs w:val="23"/>
        </w:rPr>
        <w:t xml:space="preserve"> procurement</w:t>
      </w:r>
      <w:r w:rsidR="00CA04F9" w:rsidRPr="00435BC3">
        <w:rPr>
          <w:rFonts w:asciiTheme="minorHAnsi" w:hAnsiTheme="minorHAnsi" w:cstheme="minorHAnsi"/>
          <w:sz w:val="23"/>
          <w:szCs w:val="23"/>
        </w:rPr>
        <w:t xml:space="preserve"> </w:t>
      </w:r>
      <w:r w:rsidR="001F05B6" w:rsidRPr="00435BC3">
        <w:rPr>
          <w:rFonts w:asciiTheme="minorHAnsi" w:hAnsiTheme="minorHAnsi" w:cstheme="minorHAnsi"/>
          <w:sz w:val="23"/>
          <w:szCs w:val="23"/>
        </w:rPr>
        <w:t xml:space="preserve">in </w:t>
      </w:r>
      <w:r w:rsidR="00CA04F9" w:rsidRPr="00435BC3">
        <w:rPr>
          <w:rFonts w:asciiTheme="minorHAnsi" w:hAnsiTheme="minorHAnsi" w:cstheme="minorHAnsi"/>
          <w:sz w:val="23"/>
          <w:szCs w:val="23"/>
        </w:rPr>
        <w:t>the lat</w:t>
      </w:r>
      <w:r w:rsidR="001F05B6" w:rsidRPr="00435BC3">
        <w:rPr>
          <w:rFonts w:asciiTheme="minorHAnsi" w:hAnsiTheme="minorHAnsi" w:cstheme="minorHAnsi"/>
          <w:sz w:val="23"/>
          <w:szCs w:val="23"/>
        </w:rPr>
        <w:t>est</w:t>
      </w:r>
      <w:r w:rsidR="00CA04F9" w:rsidRPr="00435BC3">
        <w:rPr>
          <w:rFonts w:asciiTheme="minorHAnsi" w:hAnsiTheme="minorHAnsi" w:cstheme="minorHAnsi"/>
          <w:sz w:val="23"/>
          <w:szCs w:val="23"/>
        </w:rPr>
        <w:t xml:space="preserve"> </w:t>
      </w:r>
      <w:r w:rsidR="001F05B6" w:rsidRPr="00435BC3">
        <w:rPr>
          <w:rFonts w:asciiTheme="minorHAnsi" w:hAnsiTheme="minorHAnsi" w:cstheme="minorHAnsi"/>
          <w:sz w:val="23"/>
          <w:szCs w:val="23"/>
        </w:rPr>
        <w:t>T</w:t>
      </w:r>
      <w:r w:rsidR="00CA04F9" w:rsidRPr="00435BC3">
        <w:rPr>
          <w:rFonts w:asciiTheme="minorHAnsi" w:hAnsiTheme="minorHAnsi" w:cstheme="minorHAnsi"/>
          <w:sz w:val="23"/>
          <w:szCs w:val="23"/>
        </w:rPr>
        <w:t xml:space="preserve">ariff </w:t>
      </w:r>
      <w:r w:rsidR="001F05B6" w:rsidRPr="00435BC3">
        <w:rPr>
          <w:rFonts w:asciiTheme="minorHAnsi" w:hAnsiTheme="minorHAnsi" w:cstheme="minorHAnsi"/>
          <w:sz w:val="23"/>
          <w:szCs w:val="23"/>
        </w:rPr>
        <w:t>O</w:t>
      </w:r>
      <w:r w:rsidR="00CA04F9" w:rsidRPr="00435BC3">
        <w:rPr>
          <w:rFonts w:asciiTheme="minorHAnsi" w:hAnsiTheme="minorHAnsi" w:cstheme="minorHAnsi"/>
          <w:sz w:val="23"/>
          <w:szCs w:val="23"/>
        </w:rPr>
        <w:t xml:space="preserve">rder </w:t>
      </w:r>
      <w:r w:rsidR="001F05B6" w:rsidRPr="00435BC3">
        <w:rPr>
          <w:rFonts w:asciiTheme="minorHAnsi" w:hAnsiTheme="minorHAnsi" w:cstheme="minorHAnsi"/>
          <w:sz w:val="23"/>
          <w:szCs w:val="23"/>
        </w:rPr>
        <w:t xml:space="preserve">i.e., </w:t>
      </w:r>
      <w:r w:rsidR="00CA04F9" w:rsidRPr="00435BC3">
        <w:rPr>
          <w:rFonts w:asciiTheme="minorHAnsi" w:hAnsiTheme="minorHAnsi" w:cstheme="minorHAnsi"/>
          <w:sz w:val="23"/>
          <w:szCs w:val="23"/>
        </w:rPr>
        <w:t xml:space="preserve">FY 2018-19 </w:t>
      </w:r>
      <w:r w:rsidR="000B3C69" w:rsidRPr="00435BC3">
        <w:rPr>
          <w:rFonts w:asciiTheme="minorHAnsi" w:hAnsiTheme="minorHAnsi" w:cstheme="minorHAnsi"/>
          <w:sz w:val="23"/>
          <w:szCs w:val="23"/>
        </w:rPr>
        <w:t>have been</w:t>
      </w:r>
      <w:r w:rsidR="009D19BC" w:rsidRPr="00435BC3">
        <w:rPr>
          <w:rFonts w:asciiTheme="minorHAnsi" w:hAnsiTheme="minorHAnsi" w:cstheme="minorHAnsi"/>
          <w:sz w:val="23"/>
          <w:szCs w:val="23"/>
        </w:rPr>
        <w:t xml:space="preserve"> </w:t>
      </w:r>
      <w:r w:rsidR="000B3C69" w:rsidRPr="00435BC3">
        <w:rPr>
          <w:rFonts w:asciiTheme="minorHAnsi" w:hAnsiTheme="minorHAnsi" w:cstheme="minorHAnsi"/>
          <w:sz w:val="23"/>
          <w:szCs w:val="23"/>
        </w:rPr>
        <w:t>considered</w:t>
      </w:r>
      <w:r w:rsidR="009D19BC" w:rsidRPr="00435BC3">
        <w:rPr>
          <w:rFonts w:asciiTheme="minorHAnsi" w:hAnsiTheme="minorHAnsi" w:cstheme="minorHAnsi"/>
          <w:sz w:val="23"/>
          <w:szCs w:val="23"/>
        </w:rPr>
        <w:t xml:space="preserve"> for</w:t>
      </w:r>
      <w:r w:rsidR="000B3C69" w:rsidRPr="00435BC3">
        <w:rPr>
          <w:rFonts w:asciiTheme="minorHAnsi" w:hAnsiTheme="minorHAnsi" w:cstheme="minorHAnsi"/>
          <w:sz w:val="23"/>
          <w:szCs w:val="23"/>
        </w:rPr>
        <w:t xml:space="preserve"> the purpose of</w:t>
      </w:r>
      <w:r w:rsidR="009D19BC" w:rsidRPr="00435BC3">
        <w:rPr>
          <w:rFonts w:asciiTheme="minorHAnsi" w:hAnsiTheme="minorHAnsi" w:cstheme="minorHAnsi"/>
          <w:sz w:val="23"/>
          <w:szCs w:val="23"/>
        </w:rPr>
        <w:t xml:space="preserve"> </w:t>
      </w:r>
      <w:r w:rsidR="004E30E6" w:rsidRPr="00435BC3">
        <w:rPr>
          <w:rFonts w:asciiTheme="minorHAnsi" w:hAnsiTheme="minorHAnsi" w:cstheme="minorHAnsi"/>
          <w:sz w:val="23"/>
          <w:szCs w:val="23"/>
        </w:rPr>
        <w:t>comparison.</w:t>
      </w:r>
    </w:p>
    <w:p w:rsidR="000A6404" w:rsidRPr="00435BC3" w:rsidRDefault="000A6404" w:rsidP="00976D04">
      <w:pPr>
        <w:jc w:val="both"/>
        <w:rPr>
          <w:rFonts w:asciiTheme="minorHAnsi" w:hAnsiTheme="minorHAnsi" w:cstheme="minorHAnsi"/>
          <w:sz w:val="23"/>
          <w:szCs w:val="23"/>
        </w:rPr>
      </w:pPr>
      <w:r w:rsidRPr="00435BC3">
        <w:rPr>
          <w:rFonts w:asciiTheme="minorHAnsi" w:hAnsiTheme="minorHAnsi" w:cstheme="minorHAnsi"/>
        </w:rPr>
        <w:t>As the filing of FY 2019-20 was carried out on 31.03.2021, TSDISCOMS used actual data of power purchase, hence the variance between the filed availability and the actual purchase is zero.</w:t>
      </w:r>
    </w:p>
    <w:p w:rsidR="000A6404" w:rsidRPr="00435BC3" w:rsidRDefault="00BE56CD" w:rsidP="00976D04">
      <w:pPr>
        <w:jc w:val="both"/>
        <w:rPr>
          <w:rFonts w:asciiTheme="minorHAnsi" w:hAnsiTheme="minorHAnsi" w:cstheme="minorHAnsi"/>
          <w:sz w:val="23"/>
          <w:szCs w:val="23"/>
        </w:rPr>
      </w:pPr>
      <w:r w:rsidRPr="00435BC3">
        <w:rPr>
          <w:rFonts w:asciiTheme="minorHAnsi" w:hAnsiTheme="minorHAnsi" w:cstheme="minorHAnsi"/>
          <w:sz w:val="23"/>
          <w:szCs w:val="23"/>
        </w:rPr>
        <w:t>For</w:t>
      </w:r>
      <w:r w:rsidR="00E425EF" w:rsidRPr="00435BC3">
        <w:rPr>
          <w:rFonts w:asciiTheme="minorHAnsi" w:hAnsiTheme="minorHAnsi" w:cstheme="minorHAnsi"/>
          <w:sz w:val="23"/>
          <w:szCs w:val="23"/>
        </w:rPr>
        <w:t xml:space="preserve"> FY 2022-23, the analysis of </w:t>
      </w:r>
      <w:r w:rsidR="00E425EF" w:rsidRPr="00435BC3">
        <w:rPr>
          <w:rFonts w:asciiTheme="minorHAnsi" w:hAnsiTheme="minorHAnsi" w:cstheme="minorHAnsi"/>
        </w:rPr>
        <w:t xml:space="preserve">power procurement has been done considering the </w:t>
      </w:r>
      <w:r w:rsidR="00102E75" w:rsidRPr="00435BC3">
        <w:rPr>
          <w:rFonts w:asciiTheme="minorHAnsi" w:hAnsiTheme="minorHAnsi" w:cstheme="minorHAnsi"/>
        </w:rPr>
        <w:t xml:space="preserve">submissions made by TSDISCOMs in </w:t>
      </w:r>
      <w:r w:rsidR="00D51B71" w:rsidRPr="00435BC3">
        <w:rPr>
          <w:rFonts w:asciiTheme="minorHAnsi" w:hAnsiTheme="minorHAnsi" w:cstheme="minorHAnsi"/>
        </w:rPr>
        <w:t xml:space="preserve">their </w:t>
      </w:r>
      <w:r w:rsidR="00D6612B" w:rsidRPr="00435BC3">
        <w:rPr>
          <w:rFonts w:asciiTheme="minorHAnsi" w:hAnsiTheme="minorHAnsi" w:cstheme="minorHAnsi"/>
        </w:rPr>
        <w:t xml:space="preserve">ARR </w:t>
      </w:r>
      <w:r w:rsidR="00102E75" w:rsidRPr="00435BC3">
        <w:rPr>
          <w:rFonts w:asciiTheme="minorHAnsi" w:hAnsiTheme="minorHAnsi" w:cstheme="minorHAnsi"/>
        </w:rPr>
        <w:t>filings</w:t>
      </w:r>
      <w:r w:rsidR="00D51B71" w:rsidRPr="00435BC3">
        <w:rPr>
          <w:rFonts w:asciiTheme="minorHAnsi" w:hAnsiTheme="minorHAnsi" w:cstheme="minorHAnsi"/>
        </w:rPr>
        <w:t xml:space="preserve">. </w:t>
      </w:r>
    </w:p>
    <w:p w:rsidR="0024415E" w:rsidRPr="00435BC3" w:rsidRDefault="00D51B71" w:rsidP="00976D04">
      <w:pPr>
        <w:jc w:val="both"/>
        <w:rPr>
          <w:rFonts w:asciiTheme="minorHAnsi" w:hAnsiTheme="minorHAnsi" w:cstheme="minorHAnsi"/>
          <w:sz w:val="23"/>
          <w:szCs w:val="23"/>
        </w:rPr>
      </w:pPr>
      <w:r w:rsidRPr="00435BC3">
        <w:rPr>
          <w:rFonts w:asciiTheme="minorHAnsi" w:hAnsiTheme="minorHAnsi" w:cstheme="minorHAnsi"/>
        </w:rPr>
        <w:t xml:space="preserve">For FY 2023-24, </w:t>
      </w:r>
      <w:r w:rsidR="0041460F" w:rsidRPr="00435BC3">
        <w:rPr>
          <w:rFonts w:asciiTheme="minorHAnsi" w:hAnsiTheme="minorHAnsi" w:cstheme="minorHAnsi"/>
        </w:rPr>
        <w:t>the analysis is limited to Q1 of FY 202</w:t>
      </w:r>
      <w:r w:rsidR="005378D7" w:rsidRPr="00435BC3">
        <w:rPr>
          <w:rFonts w:asciiTheme="minorHAnsi" w:hAnsiTheme="minorHAnsi" w:cstheme="minorHAnsi"/>
        </w:rPr>
        <w:t>3</w:t>
      </w:r>
      <w:r w:rsidR="0041460F" w:rsidRPr="00435BC3">
        <w:rPr>
          <w:rFonts w:asciiTheme="minorHAnsi" w:hAnsiTheme="minorHAnsi" w:cstheme="minorHAnsi"/>
        </w:rPr>
        <w:t>-2</w:t>
      </w:r>
      <w:r w:rsidR="005378D7" w:rsidRPr="00435BC3">
        <w:rPr>
          <w:rFonts w:asciiTheme="minorHAnsi" w:hAnsiTheme="minorHAnsi" w:cstheme="minorHAnsi"/>
        </w:rPr>
        <w:t>4</w:t>
      </w:r>
      <w:r w:rsidR="0024415E" w:rsidRPr="00435BC3">
        <w:rPr>
          <w:rFonts w:asciiTheme="minorHAnsi" w:hAnsiTheme="minorHAnsi" w:cstheme="minorHAnsi"/>
        </w:rPr>
        <w:t xml:space="preserve"> only considering the limitation of availability of information.</w:t>
      </w:r>
    </w:p>
    <w:p w:rsidR="00057812" w:rsidRPr="00435BC3" w:rsidRDefault="00C869FA" w:rsidP="00976D04">
      <w:pPr>
        <w:jc w:val="both"/>
        <w:rPr>
          <w:rFonts w:asciiTheme="minorHAnsi" w:hAnsiTheme="minorHAnsi" w:cstheme="minorHAnsi"/>
        </w:rPr>
      </w:pPr>
      <w:r w:rsidRPr="00435BC3">
        <w:rPr>
          <w:rFonts w:asciiTheme="minorHAnsi" w:hAnsiTheme="minorHAnsi" w:cstheme="minorHAnsi"/>
        </w:rPr>
        <w:t xml:space="preserve">Year wise analysis of the power procurement is </w:t>
      </w:r>
      <w:r w:rsidR="005436B2" w:rsidRPr="00435BC3">
        <w:rPr>
          <w:rFonts w:asciiTheme="minorHAnsi" w:hAnsiTheme="minorHAnsi" w:cstheme="minorHAnsi"/>
        </w:rPr>
        <w:t xml:space="preserve">as </w:t>
      </w:r>
      <w:r w:rsidRPr="00435BC3">
        <w:rPr>
          <w:rFonts w:asciiTheme="minorHAnsi" w:hAnsiTheme="minorHAnsi" w:cstheme="minorHAnsi"/>
        </w:rPr>
        <w:t>follow</w:t>
      </w:r>
      <w:r w:rsidR="005436B2" w:rsidRPr="00435BC3">
        <w:rPr>
          <w:rFonts w:asciiTheme="minorHAnsi" w:hAnsiTheme="minorHAnsi" w:cstheme="minorHAnsi"/>
        </w:rPr>
        <w:t>s</w:t>
      </w:r>
    </w:p>
    <w:p w:rsidR="00C05619" w:rsidRPr="00435BC3" w:rsidRDefault="00DD3AA2" w:rsidP="00C05619">
      <w:pPr>
        <w:jc w:val="both"/>
        <w:rPr>
          <w:rFonts w:asciiTheme="minorHAnsi" w:hAnsiTheme="minorHAnsi" w:cstheme="minorHAnsi"/>
          <w:b/>
          <w:bCs/>
          <w:u w:val="single"/>
        </w:rPr>
      </w:pPr>
      <w:r w:rsidRPr="00435BC3">
        <w:rPr>
          <w:rFonts w:asciiTheme="minorHAnsi" w:hAnsiTheme="minorHAnsi" w:cstheme="minorHAnsi"/>
          <w:b/>
          <w:bCs/>
          <w:u w:val="single"/>
        </w:rPr>
        <w:t>FY 2019-20</w:t>
      </w:r>
    </w:p>
    <w:p w:rsidR="000A6404" w:rsidRPr="00435BC3" w:rsidRDefault="000A6404" w:rsidP="000A6404">
      <w:pPr>
        <w:pStyle w:val="ListParagraph"/>
        <w:numPr>
          <w:ilvl w:val="0"/>
          <w:numId w:val="9"/>
        </w:numPr>
        <w:jc w:val="both"/>
        <w:rPr>
          <w:rFonts w:asciiTheme="minorHAnsi" w:hAnsiTheme="minorHAnsi" w:cstheme="minorHAnsi"/>
        </w:rPr>
      </w:pPr>
      <w:r w:rsidRPr="00435BC3">
        <w:rPr>
          <w:rFonts w:asciiTheme="minorHAnsi" w:hAnsiTheme="minorHAnsi" w:cstheme="minorHAnsi"/>
        </w:rPr>
        <w:t>Considering the filing of FY 2019-20 was carried out on 31.03.2021, TSDISCOMS used actual data of power purchase, hence the variance between the filed availability and the actual purchase is zero.</w:t>
      </w:r>
    </w:p>
    <w:p w:rsidR="000A6404" w:rsidRPr="00435BC3" w:rsidRDefault="000A6404" w:rsidP="000A6404">
      <w:pPr>
        <w:pStyle w:val="ListParagraph"/>
        <w:numPr>
          <w:ilvl w:val="0"/>
          <w:numId w:val="9"/>
        </w:numPr>
        <w:jc w:val="both"/>
        <w:rPr>
          <w:rFonts w:asciiTheme="minorHAnsi" w:hAnsiTheme="minorHAnsi" w:cstheme="minorHAnsi"/>
        </w:rPr>
      </w:pPr>
      <w:r w:rsidRPr="00435BC3">
        <w:rPr>
          <w:rFonts w:asciiTheme="minorHAnsi" w:hAnsiTheme="minorHAnsi" w:cstheme="minorHAnsi"/>
        </w:rPr>
        <w:t xml:space="preserve">Further it is to be noted that Surplus sale for </w:t>
      </w:r>
      <w:r w:rsidR="00F2161D" w:rsidRPr="00435BC3">
        <w:rPr>
          <w:rFonts w:asciiTheme="minorHAnsi" w:hAnsiTheme="minorHAnsi" w:cstheme="minorHAnsi"/>
        </w:rPr>
        <w:t xml:space="preserve">FY </w:t>
      </w:r>
      <w:r w:rsidRPr="00435BC3">
        <w:rPr>
          <w:rFonts w:asciiTheme="minorHAnsi" w:hAnsiTheme="minorHAnsi" w:cstheme="minorHAnsi"/>
        </w:rPr>
        <w:t xml:space="preserve">2019-20 is </w:t>
      </w:r>
      <w:r w:rsidR="00F2161D" w:rsidRPr="00435BC3">
        <w:rPr>
          <w:rFonts w:asciiTheme="minorHAnsi" w:hAnsiTheme="minorHAnsi" w:cstheme="minorHAnsi"/>
        </w:rPr>
        <w:t>1068 MU.</w:t>
      </w:r>
    </w:p>
    <w:p w:rsidR="000A6404" w:rsidRPr="00435BC3" w:rsidRDefault="000A6404" w:rsidP="003478BF">
      <w:pPr>
        <w:pStyle w:val="Caption"/>
        <w:rPr>
          <w:rFonts w:asciiTheme="minorHAnsi" w:hAnsiTheme="minorHAnsi" w:cstheme="minorHAnsi"/>
        </w:rPr>
      </w:pPr>
    </w:p>
    <w:p w:rsidR="002D29A4" w:rsidRPr="00435BC3" w:rsidRDefault="002D29A4" w:rsidP="003478BF">
      <w:pPr>
        <w:pStyle w:val="Caption"/>
        <w:rPr>
          <w:rFonts w:asciiTheme="minorHAnsi" w:hAnsiTheme="minorHAnsi" w:cstheme="minorHAnsi"/>
        </w:rPr>
      </w:pPr>
      <w:r w:rsidRPr="00435BC3">
        <w:rPr>
          <w:rFonts w:asciiTheme="minorHAnsi" w:hAnsiTheme="minorHAnsi" w:cstheme="minorHAnsi"/>
        </w:rPr>
        <w:t xml:space="preserve">Table </w:t>
      </w:r>
      <w:r w:rsidR="00B52A87" w:rsidRPr="00435BC3">
        <w:rPr>
          <w:rFonts w:asciiTheme="minorHAnsi" w:hAnsiTheme="minorHAnsi" w:cstheme="minorHAnsi"/>
        </w:rPr>
        <w:fldChar w:fldCharType="begin"/>
      </w:r>
      <w:r w:rsidR="004608D8" w:rsidRPr="00435BC3">
        <w:rPr>
          <w:rFonts w:asciiTheme="minorHAnsi" w:hAnsiTheme="minorHAnsi" w:cstheme="minorHAnsi"/>
        </w:rPr>
        <w:instrText xml:space="preserve"> SEQ Table \* ARABIC </w:instrText>
      </w:r>
      <w:r w:rsidR="00B52A87" w:rsidRPr="00435BC3">
        <w:rPr>
          <w:rFonts w:asciiTheme="minorHAnsi" w:hAnsiTheme="minorHAnsi" w:cstheme="minorHAnsi"/>
        </w:rPr>
        <w:fldChar w:fldCharType="separate"/>
      </w:r>
      <w:r w:rsidR="00346E72">
        <w:rPr>
          <w:rFonts w:asciiTheme="minorHAnsi" w:hAnsiTheme="minorHAnsi" w:cstheme="minorHAnsi"/>
          <w:noProof/>
        </w:rPr>
        <w:t>1</w:t>
      </w:r>
      <w:r w:rsidR="00B52A87" w:rsidRPr="00435BC3">
        <w:rPr>
          <w:rFonts w:asciiTheme="minorHAnsi" w:hAnsiTheme="minorHAnsi" w:cstheme="minorHAnsi"/>
          <w:noProof/>
        </w:rPr>
        <w:fldChar w:fldCharType="end"/>
      </w:r>
      <w:r w:rsidR="00B662E2" w:rsidRPr="00435BC3">
        <w:rPr>
          <w:rFonts w:asciiTheme="minorHAnsi" w:hAnsiTheme="minorHAnsi" w:cstheme="minorHAnsi"/>
        </w:rPr>
        <w:t xml:space="preserve">: Power Surplus/ Deficit </w:t>
      </w:r>
      <w:r w:rsidR="009E334E" w:rsidRPr="00435BC3">
        <w:rPr>
          <w:rFonts w:asciiTheme="minorHAnsi" w:hAnsiTheme="minorHAnsi" w:cstheme="minorHAnsi"/>
        </w:rPr>
        <w:t>Variance (MU)</w:t>
      </w:r>
      <w:r w:rsidR="005436B2" w:rsidRPr="00435BC3">
        <w:rPr>
          <w:rFonts w:asciiTheme="minorHAnsi" w:hAnsiTheme="minorHAnsi" w:cstheme="minorHAnsi"/>
        </w:rPr>
        <w:t xml:space="preserve"> for FY 2019-20</w:t>
      </w:r>
    </w:p>
    <w:tbl>
      <w:tblPr>
        <w:tblW w:w="0" w:type="auto"/>
        <w:tblLook w:val="04A0"/>
      </w:tblPr>
      <w:tblGrid>
        <w:gridCol w:w="735"/>
        <w:gridCol w:w="3267"/>
        <w:gridCol w:w="1309"/>
        <w:gridCol w:w="1309"/>
        <w:gridCol w:w="1309"/>
        <w:gridCol w:w="1090"/>
      </w:tblGrid>
      <w:tr w:rsidR="00080131" w:rsidRPr="004F43A0" w:rsidTr="00346E72">
        <w:trPr>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b/>
                <w:bCs/>
                <w:color w:val="000000"/>
                <w:szCs w:val="24"/>
              </w:rPr>
            </w:pPr>
            <w:r w:rsidRPr="004F43A0">
              <w:rPr>
                <w:rFonts w:eastAsia="Times New Roman" w:cs="Calibri"/>
                <w:b/>
                <w:bCs/>
                <w:color w:val="000000"/>
                <w:szCs w:val="24"/>
              </w:rPr>
              <w:t>S. No</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b/>
                <w:bCs/>
                <w:color w:val="000000"/>
                <w:szCs w:val="24"/>
              </w:rPr>
            </w:pPr>
            <w:r w:rsidRPr="004F43A0">
              <w:rPr>
                <w:rFonts w:eastAsia="Times New Roman" w:cs="Calibri"/>
                <w:b/>
                <w:bCs/>
                <w:color w:val="000000"/>
                <w:szCs w:val="24"/>
              </w:rPr>
              <w:t>Particulars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Filed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Approved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Actuals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Variance</w:t>
            </w:r>
          </w:p>
        </w:tc>
      </w:tr>
      <w:tr w:rsidR="00080131" w:rsidRPr="004F43A0" w:rsidTr="00346E72">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80131" w:rsidRPr="004F43A0" w:rsidRDefault="00080131" w:rsidP="00346E72">
            <w:pPr>
              <w:spacing w:after="0" w:line="240" w:lineRule="auto"/>
              <w:rPr>
                <w:rFonts w:eastAsia="Times New Roman" w:cs="Calibri"/>
                <w:b/>
                <w:bCs/>
                <w:color w:val="000000"/>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80131" w:rsidRPr="004F43A0" w:rsidRDefault="00080131" w:rsidP="00346E72">
            <w:pPr>
              <w:spacing w:after="0" w:line="240" w:lineRule="auto"/>
              <w:rPr>
                <w:rFonts w:eastAsia="Times New Roman" w:cs="Calibri"/>
                <w:b/>
                <w:bCs/>
                <w:color w:val="000000"/>
                <w:szCs w:val="24"/>
              </w:rPr>
            </w:pP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FY 2019-20</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FY 2018-19</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FY 2019-20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80131" w:rsidRPr="004F43A0" w:rsidRDefault="00080131" w:rsidP="00346E72">
            <w:pPr>
              <w:spacing w:after="0" w:line="240" w:lineRule="auto"/>
              <w:rPr>
                <w:rFonts w:eastAsia="Times New Roman" w:cs="Calibri"/>
                <w:b/>
                <w:bCs/>
                <w:color w:val="000000"/>
                <w:szCs w:val="24"/>
              </w:rPr>
            </w:pPr>
          </w:p>
        </w:tc>
      </w:tr>
      <w:tr w:rsidR="00080131" w:rsidRPr="004F43A0" w:rsidTr="00346E72">
        <w:trPr>
          <w:trHeight w:val="20"/>
          <w:tblHead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2</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3</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6 = 5-3</w:t>
            </w:r>
          </w:p>
        </w:tc>
      </w:tr>
      <w:tr w:rsidR="00080131" w:rsidRPr="004F43A0" w:rsidTr="00346E72">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b/>
                <w:bCs/>
                <w:color w:val="000000"/>
                <w:szCs w:val="24"/>
              </w:rPr>
            </w:pPr>
            <w:r w:rsidRPr="004F43A0">
              <w:rPr>
                <w:rFonts w:eastAsia="Times New Roman" w:cs="Calibri"/>
                <w:b/>
                <w:bCs/>
                <w:color w:val="000000"/>
                <w:szCs w:val="24"/>
              </w:rPr>
              <w:t xml:space="preserve">Energy Availability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1a</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color w:val="000000"/>
                <w:szCs w:val="24"/>
              </w:rPr>
            </w:pPr>
            <w:r w:rsidRPr="004F43A0">
              <w:rPr>
                <w:rFonts w:eastAsia="Times New Roman" w:cs="Calibri"/>
                <w:color w:val="000000"/>
                <w:szCs w:val="24"/>
              </w:rPr>
              <w:t>TS GENCO</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23837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21661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23837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0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1b</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color w:val="000000"/>
                <w:szCs w:val="24"/>
              </w:rPr>
            </w:pPr>
            <w:r w:rsidRPr="004F43A0">
              <w:rPr>
                <w:rFonts w:eastAsia="Times New Roman" w:cs="Calibri"/>
                <w:color w:val="000000"/>
                <w:szCs w:val="24"/>
              </w:rPr>
              <w:t>CGS</w:t>
            </w:r>
          </w:p>
        </w:tc>
        <w:tc>
          <w:tcPr>
            <w:tcW w:w="0" w:type="auto"/>
            <w:tcBorders>
              <w:top w:val="nil"/>
              <w:left w:val="nil"/>
              <w:bottom w:val="nil"/>
              <w:right w:val="nil"/>
            </w:tcBorders>
            <w:shd w:val="clear" w:color="auto" w:fill="auto"/>
            <w:noWrap/>
            <w:vAlign w:val="bottom"/>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13460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15791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13460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0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lastRenderedPageBreak/>
              <w:t>1c</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color w:val="000000"/>
                <w:szCs w:val="24"/>
              </w:rPr>
            </w:pPr>
            <w:r w:rsidRPr="004F43A0">
              <w:rPr>
                <w:rFonts w:eastAsia="Times New Roman" w:cs="Calibri"/>
                <w:color w:val="000000"/>
                <w:szCs w:val="24"/>
              </w:rPr>
              <w:t>NCE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6402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5200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6402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0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1d</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color w:val="000000"/>
                <w:szCs w:val="24"/>
              </w:rPr>
            </w:pPr>
            <w:r w:rsidRPr="004F43A0">
              <w:rPr>
                <w:rFonts w:eastAsia="Times New Roman" w:cs="Calibri"/>
                <w:color w:val="000000"/>
                <w:szCs w:val="24"/>
              </w:rPr>
              <w:t>Others*</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17644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21786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17644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0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1e</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color w:val="000000"/>
                <w:szCs w:val="24"/>
              </w:rPr>
            </w:pPr>
            <w:r w:rsidRPr="004F43A0">
              <w:rPr>
                <w:rFonts w:eastAsia="Times New Roman" w:cs="Calibri"/>
                <w:color w:val="000000"/>
                <w:szCs w:val="24"/>
              </w:rPr>
              <w:t>Short term Power Purchase**</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6755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i/>
                <w:iCs/>
                <w:color w:val="000000"/>
                <w:szCs w:val="24"/>
              </w:rPr>
            </w:pPr>
            <w:r w:rsidRPr="004F43A0">
              <w:rPr>
                <w:rFonts w:eastAsia="Times New Roman" w:cs="Calibri"/>
                <w:i/>
                <w:iCs/>
                <w:color w:val="000000"/>
                <w:szCs w:val="24"/>
              </w:rPr>
              <w:t xml:space="preserve">1159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6755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0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1f</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b/>
                <w:bCs/>
                <w:color w:val="000000"/>
                <w:szCs w:val="24"/>
              </w:rPr>
            </w:pPr>
            <w:r w:rsidRPr="004F43A0">
              <w:rPr>
                <w:rFonts w:eastAsia="Times New Roman" w:cs="Calibri"/>
                <w:b/>
                <w:bCs/>
                <w:color w:val="000000"/>
                <w:szCs w:val="24"/>
              </w:rPr>
              <w:t xml:space="preserve">Interstate Sales (Surplus Sales)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(1068)</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0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(1068)</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0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1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b/>
                <w:bCs/>
                <w:color w:val="000000"/>
                <w:szCs w:val="24"/>
              </w:rPr>
            </w:pPr>
            <w:r w:rsidRPr="004F43A0">
              <w:rPr>
                <w:rFonts w:eastAsia="Times New Roman" w:cs="Calibri"/>
                <w:b/>
                <w:bCs/>
                <w:color w:val="000000"/>
                <w:szCs w:val="24"/>
              </w:rPr>
              <w:t>Total Energy Availability</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67030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65596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67030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0 </w:t>
            </w:r>
          </w:p>
        </w:tc>
      </w:tr>
      <w:tr w:rsidR="00080131" w:rsidRPr="004F43A0" w:rsidTr="00346E72">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b/>
                <w:bCs/>
                <w:color w:val="000000"/>
                <w:szCs w:val="24"/>
              </w:rPr>
            </w:pPr>
            <w:r w:rsidRPr="004F43A0">
              <w:rPr>
                <w:rFonts w:eastAsia="Times New Roman" w:cs="Calibri"/>
                <w:b/>
                <w:bCs/>
                <w:color w:val="000000"/>
                <w:szCs w:val="24"/>
              </w:rPr>
              <w:t xml:space="preserve">Energy Requirement (Sales)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2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b/>
                <w:bCs/>
                <w:color w:val="000000"/>
                <w:szCs w:val="24"/>
              </w:rPr>
            </w:pPr>
            <w:r w:rsidRPr="004F43A0">
              <w:rPr>
                <w:rFonts w:eastAsia="Times New Roman" w:cs="Calibri"/>
                <w:b/>
                <w:bCs/>
                <w:color w:val="000000"/>
                <w:szCs w:val="24"/>
              </w:rPr>
              <w:t>Total Energy Requirement</w:t>
            </w:r>
            <w:r w:rsidRPr="00080131">
              <w:rPr>
                <w:rFonts w:eastAsia="Times New Roman" w:cs="Calibri"/>
                <w:b/>
                <w:bCs/>
                <w:color w:val="000000"/>
                <w:szCs w:val="24"/>
                <w:vertAlign w:val="superscript"/>
              </w:rPr>
              <w:t>$</w:t>
            </w:r>
            <w:r w:rsidRPr="004F43A0">
              <w:rPr>
                <w:rFonts w:eastAsia="Times New Roman" w:cs="Calibri"/>
                <w:b/>
                <w:bCs/>
                <w:color w:val="000000"/>
                <w:szCs w:val="24"/>
              </w:rPr>
              <w:t xml:space="preserve"> </w:t>
            </w:r>
          </w:p>
        </w:tc>
        <w:tc>
          <w:tcPr>
            <w:tcW w:w="0" w:type="auto"/>
            <w:tcBorders>
              <w:top w:val="nil"/>
              <w:left w:val="nil"/>
              <w:bottom w:val="nil"/>
              <w:right w:val="nil"/>
            </w:tcBorders>
            <w:shd w:val="clear" w:color="auto" w:fill="auto"/>
            <w:noWrap/>
            <w:vAlign w:val="center"/>
            <w:hideMark/>
          </w:tcPr>
          <w:p w:rsidR="00080131" w:rsidRPr="004F43A0" w:rsidRDefault="00080131" w:rsidP="00346E72">
            <w:pPr>
              <w:spacing w:after="0" w:line="240" w:lineRule="auto"/>
              <w:jc w:val="center"/>
              <w:rPr>
                <w:rFonts w:eastAsia="Times New Roman" w:cs="Calibri"/>
                <w:b/>
                <w:bCs/>
                <w:szCs w:val="24"/>
              </w:rPr>
            </w:pPr>
            <w:r w:rsidRPr="004F43A0">
              <w:rPr>
                <w:rFonts w:eastAsia="Times New Roman" w:cs="Calibri"/>
                <w:b/>
                <w:bCs/>
                <w:szCs w:val="24"/>
              </w:rPr>
              <w:t xml:space="preserve">67044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57631 </w:t>
            </w:r>
          </w:p>
        </w:tc>
        <w:tc>
          <w:tcPr>
            <w:tcW w:w="0" w:type="auto"/>
            <w:tcBorders>
              <w:top w:val="nil"/>
              <w:left w:val="nil"/>
              <w:bottom w:val="nil"/>
              <w:right w:val="nil"/>
            </w:tcBorders>
            <w:shd w:val="clear" w:color="auto" w:fill="auto"/>
            <w:noWrap/>
            <w:vAlign w:val="center"/>
            <w:hideMark/>
          </w:tcPr>
          <w:p w:rsidR="00080131" w:rsidRPr="004F43A0" w:rsidRDefault="00080131" w:rsidP="00346E72">
            <w:pPr>
              <w:spacing w:after="0" w:line="240" w:lineRule="auto"/>
              <w:jc w:val="center"/>
              <w:rPr>
                <w:rFonts w:eastAsia="Times New Roman" w:cs="Calibri"/>
                <w:b/>
                <w:bCs/>
                <w:szCs w:val="24"/>
              </w:rPr>
            </w:pPr>
            <w:r w:rsidRPr="004F43A0">
              <w:rPr>
                <w:rFonts w:eastAsia="Times New Roman" w:cs="Calibri"/>
                <w:b/>
                <w:bCs/>
                <w:szCs w:val="24"/>
              </w:rPr>
              <w:t xml:space="preserve">67044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0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3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b/>
                <w:bCs/>
                <w:color w:val="000000"/>
                <w:szCs w:val="24"/>
              </w:rPr>
            </w:pPr>
            <w:r w:rsidRPr="004F43A0">
              <w:rPr>
                <w:rFonts w:eastAsia="Times New Roman" w:cs="Calibri"/>
                <w:b/>
                <w:bCs/>
                <w:color w:val="000000"/>
                <w:szCs w:val="24"/>
              </w:rPr>
              <w:t>Surplus / (Deficit)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(14)</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7965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(14)</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0 </w:t>
            </w:r>
          </w:p>
        </w:tc>
      </w:tr>
    </w:tbl>
    <w:p w:rsidR="0065599E" w:rsidRPr="00435BC3" w:rsidRDefault="00443A43" w:rsidP="00443A43">
      <w:pPr>
        <w:spacing w:after="0"/>
        <w:jc w:val="both"/>
        <w:rPr>
          <w:rFonts w:asciiTheme="minorHAnsi" w:hAnsiTheme="minorHAnsi" w:cstheme="minorHAnsi"/>
          <w:sz w:val="22"/>
          <w:szCs w:val="20"/>
        </w:rPr>
      </w:pPr>
      <w:r w:rsidRPr="00435BC3">
        <w:rPr>
          <w:rFonts w:asciiTheme="minorHAnsi" w:hAnsiTheme="minorHAnsi" w:cstheme="minorHAnsi"/>
          <w:sz w:val="22"/>
          <w:szCs w:val="20"/>
        </w:rPr>
        <w:t xml:space="preserve">* SEIL, CSPDCL, </w:t>
      </w:r>
      <w:proofErr w:type="spellStart"/>
      <w:r w:rsidRPr="00435BC3">
        <w:rPr>
          <w:rFonts w:asciiTheme="minorHAnsi" w:hAnsiTheme="minorHAnsi" w:cstheme="minorHAnsi"/>
          <w:sz w:val="22"/>
          <w:szCs w:val="20"/>
        </w:rPr>
        <w:t>Singareni</w:t>
      </w:r>
      <w:proofErr w:type="spellEnd"/>
      <w:r w:rsidRPr="00435BC3">
        <w:rPr>
          <w:rFonts w:asciiTheme="minorHAnsi" w:hAnsiTheme="minorHAnsi" w:cstheme="minorHAnsi"/>
          <w:sz w:val="22"/>
          <w:szCs w:val="20"/>
        </w:rPr>
        <w:t>, APGPCL, PTC India</w:t>
      </w:r>
    </w:p>
    <w:p w:rsidR="00DD5EB8" w:rsidRPr="00435BC3" w:rsidRDefault="00443A43" w:rsidP="008D707A">
      <w:pPr>
        <w:spacing w:after="0"/>
        <w:jc w:val="both"/>
        <w:rPr>
          <w:rFonts w:asciiTheme="minorHAnsi" w:hAnsiTheme="minorHAnsi" w:cstheme="minorHAnsi"/>
          <w:sz w:val="22"/>
          <w:szCs w:val="20"/>
        </w:rPr>
      </w:pPr>
      <w:r w:rsidRPr="00435BC3">
        <w:rPr>
          <w:rFonts w:asciiTheme="minorHAnsi" w:hAnsiTheme="minorHAnsi" w:cstheme="minorHAnsi"/>
          <w:sz w:val="22"/>
          <w:szCs w:val="20"/>
        </w:rPr>
        <w:t>** Includes 488 MU of UI</w:t>
      </w:r>
    </w:p>
    <w:p w:rsidR="00E95A54" w:rsidRPr="00435BC3" w:rsidRDefault="00DD5EB8" w:rsidP="00DD5EB8">
      <w:pPr>
        <w:spacing w:after="0"/>
        <w:jc w:val="both"/>
        <w:rPr>
          <w:rFonts w:asciiTheme="minorHAnsi" w:hAnsiTheme="minorHAnsi" w:cstheme="minorHAnsi"/>
          <w:sz w:val="22"/>
          <w:szCs w:val="20"/>
        </w:rPr>
      </w:pPr>
      <w:r w:rsidRPr="00435BC3">
        <w:rPr>
          <w:rFonts w:asciiTheme="minorHAnsi" w:hAnsiTheme="minorHAnsi" w:cstheme="minorHAnsi"/>
          <w:sz w:val="22"/>
          <w:szCs w:val="20"/>
        </w:rPr>
        <w:t>$ Requirement calculated by using actual losses</w:t>
      </w:r>
    </w:p>
    <w:p w:rsidR="00DD5EB8" w:rsidRPr="00435BC3" w:rsidRDefault="00DD5EB8" w:rsidP="00DD5EB8">
      <w:pPr>
        <w:spacing w:after="0"/>
        <w:jc w:val="both"/>
        <w:rPr>
          <w:rFonts w:asciiTheme="minorHAnsi" w:hAnsiTheme="minorHAnsi" w:cstheme="minorHAnsi"/>
          <w:sz w:val="22"/>
          <w:szCs w:val="20"/>
        </w:rPr>
      </w:pPr>
    </w:p>
    <w:p w:rsidR="00060FA4" w:rsidRPr="00435BC3" w:rsidRDefault="00060FA4" w:rsidP="00060FA4">
      <w:pPr>
        <w:jc w:val="both"/>
        <w:rPr>
          <w:rFonts w:asciiTheme="minorHAnsi" w:hAnsiTheme="minorHAnsi" w:cstheme="minorHAnsi"/>
          <w:b/>
          <w:bCs/>
          <w:u w:val="single"/>
        </w:rPr>
      </w:pPr>
      <w:r w:rsidRPr="00435BC3">
        <w:rPr>
          <w:rFonts w:asciiTheme="minorHAnsi" w:hAnsiTheme="minorHAnsi" w:cstheme="minorHAnsi"/>
          <w:b/>
          <w:bCs/>
          <w:u w:val="single"/>
        </w:rPr>
        <w:t>FY 2020-21</w:t>
      </w:r>
    </w:p>
    <w:p w:rsidR="00C638EF" w:rsidRPr="00435BC3" w:rsidRDefault="00614619" w:rsidP="00800A6B">
      <w:pPr>
        <w:pStyle w:val="ListParagraph"/>
        <w:numPr>
          <w:ilvl w:val="0"/>
          <w:numId w:val="9"/>
        </w:numPr>
        <w:jc w:val="both"/>
        <w:rPr>
          <w:rFonts w:asciiTheme="minorHAnsi" w:hAnsiTheme="minorHAnsi" w:cstheme="minorHAnsi"/>
        </w:rPr>
      </w:pPr>
      <w:r w:rsidRPr="00435BC3">
        <w:rPr>
          <w:rFonts w:asciiTheme="minorHAnsi" w:hAnsiTheme="minorHAnsi" w:cstheme="minorHAnsi"/>
        </w:rPr>
        <w:t>T</w:t>
      </w:r>
      <w:r w:rsidR="00800A6B" w:rsidRPr="00435BC3">
        <w:rPr>
          <w:rFonts w:asciiTheme="minorHAnsi" w:hAnsiTheme="minorHAnsi" w:cstheme="minorHAnsi"/>
        </w:rPr>
        <w:t>he filing of FY 2020-21 was carried out on 31.03.2021</w:t>
      </w:r>
      <w:r w:rsidRPr="00435BC3">
        <w:rPr>
          <w:rFonts w:asciiTheme="minorHAnsi" w:hAnsiTheme="minorHAnsi" w:cstheme="minorHAnsi"/>
        </w:rPr>
        <w:t xml:space="preserve"> along with ARR for FY 2019-20</w:t>
      </w:r>
      <w:r w:rsidR="00800A6B" w:rsidRPr="00435BC3">
        <w:rPr>
          <w:rFonts w:asciiTheme="minorHAnsi" w:hAnsiTheme="minorHAnsi" w:cstheme="minorHAnsi"/>
        </w:rPr>
        <w:t>,</w:t>
      </w:r>
      <w:r w:rsidRPr="00435BC3">
        <w:rPr>
          <w:rFonts w:asciiTheme="minorHAnsi" w:hAnsiTheme="minorHAnsi" w:cstheme="minorHAnsi"/>
        </w:rPr>
        <w:t xml:space="preserve"> FY 2020-21 and FY 2021-22.</w:t>
      </w:r>
      <w:r w:rsidR="00800A6B" w:rsidRPr="00435BC3">
        <w:rPr>
          <w:rFonts w:asciiTheme="minorHAnsi" w:hAnsiTheme="minorHAnsi" w:cstheme="minorHAnsi"/>
        </w:rPr>
        <w:t xml:space="preserve"> </w:t>
      </w:r>
      <w:r w:rsidRPr="00435BC3">
        <w:rPr>
          <w:rFonts w:asciiTheme="minorHAnsi" w:hAnsiTheme="minorHAnsi" w:cstheme="minorHAnsi"/>
        </w:rPr>
        <w:t xml:space="preserve">For FY 2020-21, </w:t>
      </w:r>
      <w:r w:rsidR="00800A6B" w:rsidRPr="00435BC3">
        <w:rPr>
          <w:rFonts w:asciiTheme="minorHAnsi" w:hAnsiTheme="minorHAnsi" w:cstheme="minorHAnsi"/>
        </w:rPr>
        <w:t>TSDISCOM</w:t>
      </w:r>
      <w:r w:rsidRPr="00435BC3">
        <w:rPr>
          <w:rFonts w:asciiTheme="minorHAnsi" w:hAnsiTheme="minorHAnsi" w:cstheme="minorHAnsi"/>
        </w:rPr>
        <w:t>s</w:t>
      </w:r>
      <w:r w:rsidR="00800A6B" w:rsidRPr="00435BC3">
        <w:rPr>
          <w:rFonts w:asciiTheme="minorHAnsi" w:hAnsiTheme="minorHAnsi" w:cstheme="minorHAnsi"/>
        </w:rPr>
        <w:t xml:space="preserve"> used actual data of power purchase</w:t>
      </w:r>
      <w:r w:rsidR="001E0EC3" w:rsidRPr="00435BC3">
        <w:rPr>
          <w:rFonts w:asciiTheme="minorHAnsi" w:hAnsiTheme="minorHAnsi" w:cstheme="minorHAnsi"/>
        </w:rPr>
        <w:t xml:space="preserve"> for H1 of FY 2020-21 and projected </w:t>
      </w:r>
      <w:r w:rsidRPr="00435BC3">
        <w:rPr>
          <w:rFonts w:asciiTheme="minorHAnsi" w:hAnsiTheme="minorHAnsi" w:cstheme="minorHAnsi"/>
        </w:rPr>
        <w:t xml:space="preserve">the energy requirement for </w:t>
      </w:r>
      <w:r w:rsidR="001E0EC3" w:rsidRPr="00435BC3">
        <w:rPr>
          <w:rFonts w:asciiTheme="minorHAnsi" w:hAnsiTheme="minorHAnsi" w:cstheme="minorHAnsi"/>
        </w:rPr>
        <w:t>H2 of FY 2020-21</w:t>
      </w:r>
      <w:r w:rsidRPr="00435BC3">
        <w:rPr>
          <w:rFonts w:asciiTheme="minorHAnsi" w:hAnsiTheme="minorHAnsi" w:cstheme="minorHAnsi"/>
        </w:rPr>
        <w:t xml:space="preserve">. </w:t>
      </w:r>
    </w:p>
    <w:p w:rsidR="000656E3" w:rsidRPr="00435BC3" w:rsidRDefault="000656E3" w:rsidP="003478BF">
      <w:pPr>
        <w:pStyle w:val="Caption"/>
        <w:rPr>
          <w:rFonts w:asciiTheme="minorHAnsi" w:hAnsiTheme="minorHAnsi" w:cstheme="minorHAnsi"/>
        </w:rPr>
      </w:pPr>
      <w:r w:rsidRPr="00435BC3">
        <w:rPr>
          <w:rFonts w:asciiTheme="minorHAnsi" w:hAnsiTheme="minorHAnsi" w:cstheme="minorHAnsi"/>
        </w:rPr>
        <w:t xml:space="preserve">Table </w:t>
      </w:r>
      <w:r w:rsidR="00B52A87" w:rsidRPr="00435BC3">
        <w:rPr>
          <w:rFonts w:asciiTheme="minorHAnsi" w:hAnsiTheme="minorHAnsi" w:cstheme="minorHAnsi"/>
        </w:rPr>
        <w:fldChar w:fldCharType="begin"/>
      </w:r>
      <w:r w:rsidR="004608D8" w:rsidRPr="00435BC3">
        <w:rPr>
          <w:rFonts w:asciiTheme="minorHAnsi" w:hAnsiTheme="minorHAnsi" w:cstheme="minorHAnsi"/>
        </w:rPr>
        <w:instrText xml:space="preserve"> SEQ Table \* ARABIC </w:instrText>
      </w:r>
      <w:r w:rsidR="00B52A87" w:rsidRPr="00435BC3">
        <w:rPr>
          <w:rFonts w:asciiTheme="minorHAnsi" w:hAnsiTheme="minorHAnsi" w:cstheme="minorHAnsi"/>
        </w:rPr>
        <w:fldChar w:fldCharType="separate"/>
      </w:r>
      <w:r w:rsidR="00346E72">
        <w:rPr>
          <w:rFonts w:asciiTheme="minorHAnsi" w:hAnsiTheme="minorHAnsi" w:cstheme="minorHAnsi"/>
          <w:noProof/>
        </w:rPr>
        <w:t>2</w:t>
      </w:r>
      <w:r w:rsidR="00B52A87" w:rsidRPr="00435BC3">
        <w:rPr>
          <w:rFonts w:asciiTheme="minorHAnsi" w:hAnsiTheme="minorHAnsi" w:cstheme="minorHAnsi"/>
          <w:noProof/>
        </w:rPr>
        <w:fldChar w:fldCharType="end"/>
      </w:r>
      <w:r w:rsidR="008034D8" w:rsidRPr="00435BC3">
        <w:rPr>
          <w:rFonts w:asciiTheme="minorHAnsi" w:hAnsiTheme="minorHAnsi" w:cstheme="minorHAnsi"/>
        </w:rPr>
        <w:t xml:space="preserve"> Power Surplus/ Deficit Variance (MU) for FY 2020-21</w:t>
      </w:r>
    </w:p>
    <w:tbl>
      <w:tblPr>
        <w:tblW w:w="0" w:type="auto"/>
        <w:tblLook w:val="04A0"/>
      </w:tblPr>
      <w:tblGrid>
        <w:gridCol w:w="626"/>
        <w:gridCol w:w="4372"/>
        <w:gridCol w:w="1093"/>
        <w:gridCol w:w="1256"/>
        <w:gridCol w:w="1139"/>
        <w:gridCol w:w="1090"/>
      </w:tblGrid>
      <w:tr w:rsidR="00080131" w:rsidRPr="004F43A0" w:rsidTr="00346E72">
        <w:trPr>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b/>
                <w:bCs/>
                <w:color w:val="000000"/>
                <w:szCs w:val="24"/>
              </w:rPr>
            </w:pPr>
            <w:r w:rsidRPr="004F43A0">
              <w:rPr>
                <w:rFonts w:eastAsia="Times New Roman" w:cs="Calibri"/>
                <w:b/>
                <w:bCs/>
                <w:color w:val="000000"/>
                <w:szCs w:val="24"/>
              </w:rPr>
              <w:t>S. No</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b/>
                <w:bCs/>
                <w:color w:val="000000"/>
                <w:szCs w:val="24"/>
              </w:rPr>
            </w:pPr>
            <w:r w:rsidRPr="004F43A0">
              <w:rPr>
                <w:rFonts w:eastAsia="Times New Roman" w:cs="Calibri"/>
                <w:b/>
                <w:bCs/>
                <w:color w:val="000000"/>
                <w:szCs w:val="24"/>
              </w:rPr>
              <w:t>Particulars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Filed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Approved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Actuals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Variance</w:t>
            </w:r>
          </w:p>
        </w:tc>
      </w:tr>
      <w:tr w:rsidR="00080131" w:rsidRPr="004F43A0" w:rsidTr="00346E72">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80131" w:rsidRPr="004F43A0" w:rsidRDefault="00080131" w:rsidP="00346E72">
            <w:pPr>
              <w:spacing w:after="0" w:line="240" w:lineRule="auto"/>
              <w:rPr>
                <w:rFonts w:eastAsia="Times New Roman" w:cs="Calibri"/>
                <w:b/>
                <w:bCs/>
                <w:color w:val="000000"/>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80131" w:rsidRPr="004F43A0" w:rsidRDefault="00080131" w:rsidP="00346E72">
            <w:pPr>
              <w:spacing w:after="0" w:line="240" w:lineRule="auto"/>
              <w:rPr>
                <w:rFonts w:eastAsia="Times New Roman" w:cs="Calibri"/>
                <w:b/>
                <w:bCs/>
                <w:color w:val="000000"/>
                <w:szCs w:val="24"/>
              </w:rPr>
            </w:pP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FY 2020-21</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FY 2018-19</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FY 2020-21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80131" w:rsidRPr="004F43A0" w:rsidRDefault="00080131" w:rsidP="00346E72">
            <w:pPr>
              <w:spacing w:after="0" w:line="240" w:lineRule="auto"/>
              <w:rPr>
                <w:rFonts w:eastAsia="Times New Roman" w:cs="Calibri"/>
                <w:b/>
                <w:bCs/>
                <w:color w:val="000000"/>
                <w:szCs w:val="24"/>
              </w:rPr>
            </w:pPr>
          </w:p>
        </w:tc>
      </w:tr>
      <w:tr w:rsidR="00080131" w:rsidRPr="004F43A0" w:rsidTr="00346E72">
        <w:trPr>
          <w:trHeight w:val="20"/>
          <w:tblHead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2</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3</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6 = 5-3</w:t>
            </w:r>
          </w:p>
        </w:tc>
      </w:tr>
      <w:tr w:rsidR="00080131" w:rsidRPr="004F43A0" w:rsidTr="00346E72">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b/>
                <w:bCs/>
                <w:color w:val="000000"/>
                <w:szCs w:val="24"/>
              </w:rPr>
            </w:pPr>
            <w:r w:rsidRPr="004F43A0">
              <w:rPr>
                <w:rFonts w:eastAsia="Times New Roman" w:cs="Calibri"/>
                <w:b/>
                <w:bCs/>
                <w:color w:val="000000"/>
                <w:szCs w:val="24"/>
              </w:rPr>
              <w:t>Energy Availability</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1a</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color w:val="000000"/>
                <w:szCs w:val="24"/>
              </w:rPr>
            </w:pPr>
            <w:r w:rsidRPr="004F43A0">
              <w:rPr>
                <w:rFonts w:eastAsia="Times New Roman" w:cs="Calibri"/>
                <w:color w:val="000000"/>
                <w:szCs w:val="24"/>
              </w:rPr>
              <w:t>TS GENCO</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21946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21661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23022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1076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1b</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color w:val="000000"/>
                <w:szCs w:val="24"/>
              </w:rPr>
            </w:pPr>
            <w:r w:rsidRPr="004F43A0">
              <w:rPr>
                <w:rFonts w:eastAsia="Times New Roman" w:cs="Calibri"/>
                <w:color w:val="000000"/>
                <w:szCs w:val="24"/>
              </w:rPr>
              <w:t>CGS</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12524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15873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11965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(559)</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1c</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color w:val="000000"/>
                <w:szCs w:val="24"/>
              </w:rPr>
            </w:pPr>
            <w:r w:rsidRPr="004F43A0">
              <w:rPr>
                <w:rFonts w:eastAsia="Times New Roman" w:cs="Calibri"/>
                <w:color w:val="000000"/>
                <w:szCs w:val="24"/>
              </w:rPr>
              <w:t>NCE</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6280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5200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6558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278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1d</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color w:val="000000"/>
                <w:szCs w:val="24"/>
              </w:rPr>
            </w:pPr>
            <w:r w:rsidRPr="004F43A0">
              <w:rPr>
                <w:rFonts w:eastAsia="Times New Roman" w:cs="Calibri"/>
                <w:color w:val="000000"/>
                <w:szCs w:val="24"/>
              </w:rPr>
              <w:t>Others*</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18576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21785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16236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(2340)</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1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b/>
                <w:bCs/>
                <w:color w:val="000000"/>
                <w:szCs w:val="24"/>
              </w:rPr>
            </w:pPr>
            <w:r w:rsidRPr="004F43A0">
              <w:rPr>
                <w:rFonts w:eastAsia="Times New Roman" w:cs="Calibri"/>
                <w:b/>
                <w:bCs/>
                <w:color w:val="000000"/>
                <w:szCs w:val="24"/>
              </w:rPr>
              <w:t>Total Energy Availability from firm sources</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59326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64519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57781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(1545)</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2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b/>
                <w:bCs/>
                <w:color w:val="000000"/>
                <w:szCs w:val="24"/>
              </w:rPr>
            </w:pPr>
            <w:r w:rsidRPr="004F43A0">
              <w:rPr>
                <w:rFonts w:eastAsia="Times New Roman" w:cs="Calibri"/>
                <w:b/>
                <w:bCs/>
                <w:color w:val="000000"/>
                <w:szCs w:val="24"/>
              </w:rPr>
              <w:t>Total Energy Requirement</w:t>
            </w:r>
            <w:r w:rsidR="00FB56AC" w:rsidRPr="00FB56AC">
              <w:rPr>
                <w:rFonts w:eastAsia="Times New Roman" w:cs="Calibri"/>
                <w:b/>
                <w:bCs/>
                <w:color w:val="000000"/>
                <w:szCs w:val="24"/>
                <w:vertAlign w:val="superscript"/>
              </w:rPr>
              <w:t>$</w:t>
            </w:r>
            <w:r w:rsidRPr="004F43A0">
              <w:rPr>
                <w:rFonts w:eastAsia="Times New Roman" w:cs="Calibri"/>
                <w:b/>
                <w:bCs/>
                <w:color w:val="000000"/>
                <w:szCs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080131" w:rsidRPr="004F43A0" w:rsidRDefault="00080131" w:rsidP="00346E72">
            <w:pPr>
              <w:spacing w:after="0" w:line="240" w:lineRule="auto"/>
              <w:jc w:val="center"/>
              <w:rPr>
                <w:rFonts w:ascii="Arial" w:eastAsia="Times New Roman" w:hAnsi="Arial"/>
                <w:b/>
                <w:bCs/>
                <w:sz w:val="22"/>
              </w:rPr>
            </w:pPr>
            <w:r w:rsidRPr="004F43A0">
              <w:rPr>
                <w:rFonts w:ascii="Arial" w:eastAsia="Times New Roman" w:hAnsi="Arial"/>
                <w:b/>
                <w:bCs/>
                <w:sz w:val="22"/>
              </w:rPr>
              <w:t xml:space="preserve">64068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57631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66252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2184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3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color w:val="000000"/>
                <w:szCs w:val="24"/>
              </w:rPr>
            </w:pPr>
            <w:r w:rsidRPr="004F43A0">
              <w:rPr>
                <w:rFonts w:eastAsia="Times New Roman" w:cs="Calibri"/>
                <w:color w:val="000000"/>
                <w:szCs w:val="24"/>
              </w:rPr>
              <w:t>Surplus/ (deficit) before Market purchase</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(4742)</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6888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(8471)</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(3729)</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4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color w:val="000000"/>
                <w:szCs w:val="24"/>
              </w:rPr>
            </w:pPr>
            <w:r w:rsidRPr="004F43A0">
              <w:rPr>
                <w:rFonts w:eastAsia="Times New Roman" w:cs="Calibri"/>
                <w:color w:val="000000"/>
                <w:szCs w:val="24"/>
              </w:rPr>
              <w:t>Short term Power Purchase</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4929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1159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8973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4044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5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color w:val="000000"/>
                <w:szCs w:val="24"/>
              </w:rPr>
            </w:pPr>
            <w:r w:rsidRPr="004F43A0">
              <w:rPr>
                <w:rFonts w:eastAsia="Times New Roman" w:cs="Calibri"/>
                <w:color w:val="000000"/>
                <w:szCs w:val="24"/>
              </w:rPr>
              <w:t>Total Energy Availability from firm sources including market sources</w:t>
            </w:r>
          </w:p>
        </w:tc>
        <w:tc>
          <w:tcPr>
            <w:tcW w:w="0" w:type="auto"/>
            <w:tcBorders>
              <w:top w:val="nil"/>
              <w:left w:val="nil"/>
              <w:bottom w:val="single" w:sz="4" w:space="0" w:color="auto"/>
              <w:right w:val="single" w:sz="4" w:space="0" w:color="auto"/>
            </w:tcBorders>
            <w:shd w:val="clear" w:color="auto" w:fill="auto"/>
            <w:noWrap/>
            <w:vAlign w:val="center"/>
            <w:hideMark/>
          </w:tcPr>
          <w:p w:rsidR="00080131" w:rsidRPr="004F43A0" w:rsidRDefault="00080131" w:rsidP="00346E72">
            <w:pPr>
              <w:spacing w:after="0" w:line="240" w:lineRule="auto"/>
              <w:jc w:val="center"/>
              <w:rPr>
                <w:rFonts w:eastAsia="Times New Roman" w:cs="Calibri"/>
                <w:color w:val="000000"/>
                <w:sz w:val="22"/>
              </w:rPr>
            </w:pPr>
            <w:r w:rsidRPr="004F43A0">
              <w:rPr>
                <w:rFonts w:eastAsia="Times New Roman" w:cs="Calibri"/>
                <w:color w:val="000000"/>
                <w:sz w:val="22"/>
              </w:rPr>
              <w:t xml:space="preserve">64255 </w:t>
            </w:r>
          </w:p>
        </w:tc>
        <w:tc>
          <w:tcPr>
            <w:tcW w:w="0" w:type="auto"/>
            <w:tcBorders>
              <w:top w:val="nil"/>
              <w:left w:val="nil"/>
              <w:bottom w:val="single" w:sz="4" w:space="0" w:color="auto"/>
              <w:right w:val="single" w:sz="4" w:space="0" w:color="auto"/>
            </w:tcBorders>
            <w:shd w:val="clear" w:color="auto" w:fill="auto"/>
            <w:noWrap/>
            <w:vAlign w:val="center"/>
            <w:hideMark/>
          </w:tcPr>
          <w:p w:rsidR="00080131" w:rsidRPr="004F43A0" w:rsidRDefault="00080131" w:rsidP="00346E72">
            <w:pPr>
              <w:spacing w:after="0" w:line="240" w:lineRule="auto"/>
              <w:jc w:val="center"/>
              <w:rPr>
                <w:rFonts w:eastAsia="Times New Roman" w:cs="Calibri"/>
                <w:color w:val="000000"/>
                <w:sz w:val="22"/>
              </w:rPr>
            </w:pPr>
            <w:r w:rsidRPr="004F43A0">
              <w:rPr>
                <w:rFonts w:eastAsia="Times New Roman" w:cs="Calibri"/>
                <w:color w:val="000000"/>
                <w:sz w:val="22"/>
              </w:rPr>
              <w:t xml:space="preserve">65678 </w:t>
            </w:r>
          </w:p>
        </w:tc>
        <w:tc>
          <w:tcPr>
            <w:tcW w:w="0" w:type="auto"/>
            <w:tcBorders>
              <w:top w:val="nil"/>
              <w:left w:val="nil"/>
              <w:bottom w:val="single" w:sz="4" w:space="0" w:color="auto"/>
              <w:right w:val="single" w:sz="4" w:space="0" w:color="auto"/>
            </w:tcBorders>
            <w:shd w:val="clear" w:color="auto" w:fill="auto"/>
            <w:noWrap/>
            <w:vAlign w:val="center"/>
            <w:hideMark/>
          </w:tcPr>
          <w:p w:rsidR="00080131" w:rsidRPr="004F43A0" w:rsidRDefault="00080131" w:rsidP="00346E72">
            <w:pPr>
              <w:spacing w:after="0" w:line="240" w:lineRule="auto"/>
              <w:jc w:val="center"/>
              <w:rPr>
                <w:rFonts w:eastAsia="Times New Roman" w:cs="Calibri"/>
                <w:color w:val="000000"/>
                <w:sz w:val="22"/>
              </w:rPr>
            </w:pPr>
            <w:r w:rsidRPr="004F43A0">
              <w:rPr>
                <w:rFonts w:eastAsia="Times New Roman" w:cs="Calibri"/>
                <w:color w:val="000000"/>
                <w:sz w:val="22"/>
              </w:rPr>
              <w:t xml:space="preserve">66753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2498 </w:t>
            </w:r>
          </w:p>
        </w:tc>
      </w:tr>
      <w:tr w:rsidR="00080131"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6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rPr>
                <w:rFonts w:eastAsia="Times New Roman" w:cs="Calibri"/>
                <w:color w:val="000000"/>
                <w:szCs w:val="24"/>
              </w:rPr>
            </w:pPr>
            <w:r w:rsidRPr="004F43A0">
              <w:rPr>
                <w:rFonts w:eastAsia="Times New Roman" w:cs="Calibri"/>
                <w:color w:val="000000"/>
                <w:szCs w:val="24"/>
              </w:rPr>
              <w:t>Surplus/ (deficit) including Market purchase</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187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8047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501 </w:t>
            </w:r>
          </w:p>
        </w:tc>
        <w:tc>
          <w:tcPr>
            <w:tcW w:w="0" w:type="auto"/>
            <w:tcBorders>
              <w:top w:val="nil"/>
              <w:left w:val="nil"/>
              <w:bottom w:val="single" w:sz="4" w:space="0" w:color="auto"/>
              <w:right w:val="single" w:sz="4" w:space="0" w:color="auto"/>
            </w:tcBorders>
            <w:shd w:val="clear" w:color="auto" w:fill="auto"/>
            <w:vAlign w:val="center"/>
            <w:hideMark/>
          </w:tcPr>
          <w:p w:rsidR="00080131" w:rsidRPr="004F43A0" w:rsidRDefault="00080131"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314 </w:t>
            </w:r>
          </w:p>
        </w:tc>
      </w:tr>
    </w:tbl>
    <w:p w:rsidR="00DD5EB8" w:rsidRPr="00435BC3" w:rsidRDefault="0017450F" w:rsidP="00800A6B">
      <w:pPr>
        <w:spacing w:after="0"/>
        <w:jc w:val="both"/>
        <w:rPr>
          <w:rFonts w:asciiTheme="minorHAnsi" w:hAnsiTheme="minorHAnsi" w:cstheme="minorHAnsi"/>
          <w:sz w:val="22"/>
          <w:szCs w:val="20"/>
        </w:rPr>
      </w:pPr>
      <w:r w:rsidRPr="00435BC3">
        <w:rPr>
          <w:rFonts w:asciiTheme="minorHAnsi" w:hAnsiTheme="minorHAnsi" w:cstheme="minorHAnsi"/>
          <w:sz w:val="22"/>
          <w:szCs w:val="20"/>
        </w:rPr>
        <w:t xml:space="preserve">* SEIL, CSPDCL, </w:t>
      </w:r>
      <w:proofErr w:type="spellStart"/>
      <w:r w:rsidRPr="00435BC3">
        <w:rPr>
          <w:rFonts w:asciiTheme="minorHAnsi" w:hAnsiTheme="minorHAnsi" w:cstheme="minorHAnsi"/>
          <w:sz w:val="22"/>
          <w:szCs w:val="20"/>
        </w:rPr>
        <w:t>Singareni</w:t>
      </w:r>
      <w:proofErr w:type="spellEnd"/>
      <w:r w:rsidRPr="00435BC3">
        <w:rPr>
          <w:rFonts w:asciiTheme="minorHAnsi" w:hAnsiTheme="minorHAnsi" w:cstheme="minorHAnsi"/>
          <w:sz w:val="22"/>
          <w:szCs w:val="20"/>
        </w:rPr>
        <w:t>, PTC India</w:t>
      </w:r>
    </w:p>
    <w:p w:rsidR="00DD5EB8" w:rsidRPr="00435BC3" w:rsidRDefault="00DD5EB8" w:rsidP="00DD5EB8">
      <w:pPr>
        <w:spacing w:after="0"/>
        <w:jc w:val="both"/>
        <w:rPr>
          <w:rFonts w:asciiTheme="minorHAnsi" w:hAnsiTheme="minorHAnsi" w:cstheme="minorHAnsi"/>
          <w:sz w:val="22"/>
          <w:szCs w:val="20"/>
        </w:rPr>
      </w:pPr>
      <w:r w:rsidRPr="00435BC3">
        <w:rPr>
          <w:rFonts w:asciiTheme="minorHAnsi" w:hAnsiTheme="minorHAnsi" w:cstheme="minorHAnsi"/>
          <w:sz w:val="22"/>
          <w:szCs w:val="20"/>
        </w:rPr>
        <w:t>$ Requirement calculated by using approved losses</w:t>
      </w:r>
    </w:p>
    <w:p w:rsidR="00DD5EB8" w:rsidRPr="00435BC3" w:rsidRDefault="00DD5EB8" w:rsidP="00800A6B">
      <w:pPr>
        <w:spacing w:after="0"/>
        <w:jc w:val="both"/>
        <w:rPr>
          <w:rFonts w:asciiTheme="minorHAnsi" w:hAnsiTheme="minorHAnsi" w:cstheme="minorHAnsi"/>
        </w:rPr>
      </w:pPr>
    </w:p>
    <w:p w:rsidR="00800A6B" w:rsidRPr="00435BC3" w:rsidRDefault="00800A6B" w:rsidP="00800A6B">
      <w:pPr>
        <w:spacing w:after="0"/>
        <w:jc w:val="both"/>
        <w:rPr>
          <w:rFonts w:asciiTheme="minorHAnsi" w:hAnsiTheme="minorHAnsi" w:cstheme="minorHAnsi"/>
        </w:rPr>
      </w:pPr>
    </w:p>
    <w:p w:rsidR="009F7FCB" w:rsidRPr="00435BC3" w:rsidRDefault="00870386" w:rsidP="00060FA4">
      <w:pPr>
        <w:pStyle w:val="ListParagraph"/>
        <w:numPr>
          <w:ilvl w:val="0"/>
          <w:numId w:val="8"/>
        </w:numPr>
        <w:jc w:val="both"/>
        <w:rPr>
          <w:rFonts w:asciiTheme="minorHAnsi" w:hAnsiTheme="minorHAnsi" w:cstheme="minorHAnsi"/>
        </w:rPr>
      </w:pPr>
      <w:r w:rsidRPr="00435BC3">
        <w:rPr>
          <w:rFonts w:asciiTheme="minorHAnsi" w:hAnsiTheme="minorHAnsi" w:cstheme="minorHAnsi"/>
        </w:rPr>
        <w:t xml:space="preserve">For </w:t>
      </w:r>
      <w:r w:rsidR="009F7FCB" w:rsidRPr="00435BC3">
        <w:rPr>
          <w:rFonts w:asciiTheme="minorHAnsi" w:hAnsiTheme="minorHAnsi" w:cstheme="minorHAnsi"/>
        </w:rPr>
        <w:t>CSPDCL</w:t>
      </w:r>
      <w:r w:rsidRPr="00435BC3">
        <w:rPr>
          <w:rFonts w:asciiTheme="minorHAnsi" w:hAnsiTheme="minorHAnsi" w:cstheme="minorHAnsi"/>
        </w:rPr>
        <w:t xml:space="preserve">, scheduling is less than 50% of the </w:t>
      </w:r>
      <w:r w:rsidR="008C20A9" w:rsidRPr="00435BC3">
        <w:rPr>
          <w:rFonts w:asciiTheme="minorHAnsi" w:hAnsiTheme="minorHAnsi" w:cstheme="minorHAnsi"/>
        </w:rPr>
        <w:t>availability</w:t>
      </w:r>
      <w:r w:rsidRPr="00435BC3">
        <w:rPr>
          <w:rFonts w:asciiTheme="minorHAnsi" w:hAnsiTheme="minorHAnsi" w:cstheme="minorHAnsi"/>
        </w:rPr>
        <w:t xml:space="preserve"> projected. </w:t>
      </w:r>
      <w:r w:rsidR="0061684D" w:rsidRPr="00435BC3">
        <w:rPr>
          <w:rFonts w:asciiTheme="minorHAnsi" w:hAnsiTheme="minorHAnsi" w:cstheme="minorHAnsi"/>
        </w:rPr>
        <w:t>The reasons for less scheduling than the contracted capacity are the discrepancies in the invoices like the claim of Trading Margin and other incidental charges till the finalization of the appeal No. 391/2018 filed by TSDISCOMs at APTEL  against Hon’ble CSERC order on determination of  Capital Cost of Marwa TPP and final consent to PPA and tariff  by Hon’ble TSERC</w:t>
      </w:r>
      <w:r w:rsidR="00AA6E2C" w:rsidRPr="00435BC3">
        <w:rPr>
          <w:rFonts w:asciiTheme="minorHAnsi" w:hAnsiTheme="minorHAnsi" w:cstheme="minorHAnsi"/>
        </w:rPr>
        <w:t>.</w:t>
      </w:r>
    </w:p>
    <w:p w:rsidR="00A81214" w:rsidRPr="00435BC3" w:rsidRDefault="00263EC5" w:rsidP="00060FA4">
      <w:pPr>
        <w:pStyle w:val="ListParagraph"/>
        <w:numPr>
          <w:ilvl w:val="0"/>
          <w:numId w:val="8"/>
        </w:numPr>
        <w:jc w:val="both"/>
        <w:rPr>
          <w:rFonts w:asciiTheme="minorHAnsi" w:hAnsiTheme="minorHAnsi" w:cstheme="minorHAnsi"/>
        </w:rPr>
      </w:pPr>
      <w:r w:rsidRPr="00435BC3">
        <w:rPr>
          <w:rFonts w:asciiTheme="minorHAnsi" w:hAnsiTheme="minorHAnsi" w:cstheme="minorHAnsi"/>
        </w:rPr>
        <w:t xml:space="preserve">For few plants like </w:t>
      </w:r>
      <w:r w:rsidR="00077085" w:rsidRPr="00435BC3">
        <w:rPr>
          <w:rFonts w:asciiTheme="minorHAnsi" w:hAnsiTheme="minorHAnsi" w:cstheme="minorHAnsi"/>
        </w:rPr>
        <w:t xml:space="preserve">NPC </w:t>
      </w:r>
      <w:proofErr w:type="spellStart"/>
      <w:r w:rsidR="00077085" w:rsidRPr="00435BC3">
        <w:rPr>
          <w:rFonts w:asciiTheme="minorHAnsi" w:hAnsiTheme="minorHAnsi" w:cstheme="minorHAnsi"/>
        </w:rPr>
        <w:t>Kaiga</w:t>
      </w:r>
      <w:proofErr w:type="spellEnd"/>
      <w:r w:rsidR="00077085" w:rsidRPr="00435BC3">
        <w:rPr>
          <w:rFonts w:asciiTheme="minorHAnsi" w:hAnsiTheme="minorHAnsi" w:cstheme="minorHAnsi"/>
        </w:rPr>
        <w:t xml:space="preserve"> unit III &amp; IV </w:t>
      </w:r>
      <w:r w:rsidR="00662A9D" w:rsidRPr="00435BC3">
        <w:rPr>
          <w:rFonts w:asciiTheme="minorHAnsi" w:hAnsiTheme="minorHAnsi" w:cstheme="minorHAnsi"/>
        </w:rPr>
        <w:t>scheduling was zero</w:t>
      </w:r>
      <w:r w:rsidR="00AD701D" w:rsidRPr="00435BC3">
        <w:rPr>
          <w:rFonts w:asciiTheme="minorHAnsi" w:hAnsiTheme="minorHAnsi" w:cstheme="minorHAnsi"/>
        </w:rPr>
        <w:t>.</w:t>
      </w:r>
      <w:r w:rsidR="005C64D5" w:rsidRPr="00435BC3">
        <w:rPr>
          <w:rFonts w:asciiTheme="minorHAnsi" w:hAnsiTheme="minorHAnsi" w:cstheme="minorHAnsi"/>
        </w:rPr>
        <w:t xml:space="preserve"> </w:t>
      </w:r>
    </w:p>
    <w:p w:rsidR="005C64D5" w:rsidRPr="00435BC3" w:rsidRDefault="00C65D2C" w:rsidP="00060FA4">
      <w:pPr>
        <w:pStyle w:val="ListParagraph"/>
        <w:numPr>
          <w:ilvl w:val="0"/>
          <w:numId w:val="8"/>
        </w:numPr>
        <w:jc w:val="both"/>
        <w:rPr>
          <w:rFonts w:asciiTheme="minorHAnsi" w:hAnsiTheme="minorHAnsi" w:cstheme="minorHAnsi"/>
        </w:rPr>
      </w:pPr>
      <w:r w:rsidRPr="00435BC3">
        <w:rPr>
          <w:rFonts w:asciiTheme="minorHAnsi" w:hAnsiTheme="minorHAnsi" w:cstheme="minorHAnsi"/>
        </w:rPr>
        <w:t xml:space="preserve">For other </w:t>
      </w:r>
      <w:r w:rsidR="00456ECD" w:rsidRPr="00435BC3">
        <w:rPr>
          <w:rFonts w:asciiTheme="minorHAnsi" w:hAnsiTheme="minorHAnsi" w:cstheme="minorHAnsi"/>
        </w:rPr>
        <w:t>CGS</w:t>
      </w:r>
      <w:r w:rsidRPr="00435BC3">
        <w:rPr>
          <w:rFonts w:asciiTheme="minorHAnsi" w:hAnsiTheme="minorHAnsi" w:cstheme="minorHAnsi"/>
        </w:rPr>
        <w:t xml:space="preserve"> pl</w:t>
      </w:r>
      <w:r w:rsidR="00F6762D" w:rsidRPr="00435BC3">
        <w:rPr>
          <w:rFonts w:asciiTheme="minorHAnsi" w:hAnsiTheme="minorHAnsi" w:cstheme="minorHAnsi"/>
        </w:rPr>
        <w:t>a</w:t>
      </w:r>
      <w:r w:rsidRPr="00435BC3">
        <w:rPr>
          <w:rFonts w:asciiTheme="minorHAnsi" w:hAnsiTheme="minorHAnsi" w:cstheme="minorHAnsi"/>
        </w:rPr>
        <w:t>nts like</w:t>
      </w:r>
      <w:r w:rsidR="002315B2" w:rsidRPr="00435BC3">
        <w:rPr>
          <w:rFonts w:asciiTheme="minorHAnsi" w:hAnsiTheme="minorHAnsi" w:cstheme="minorHAnsi"/>
        </w:rPr>
        <w:t xml:space="preserve"> </w:t>
      </w:r>
      <w:proofErr w:type="spellStart"/>
      <w:r w:rsidR="002315B2" w:rsidRPr="00435BC3">
        <w:rPr>
          <w:rFonts w:asciiTheme="minorHAnsi" w:hAnsiTheme="minorHAnsi" w:cstheme="minorHAnsi"/>
        </w:rPr>
        <w:t>Simhadri</w:t>
      </w:r>
      <w:proofErr w:type="spellEnd"/>
      <w:r w:rsidR="002315B2" w:rsidRPr="00435BC3">
        <w:rPr>
          <w:rFonts w:asciiTheme="minorHAnsi" w:hAnsiTheme="minorHAnsi" w:cstheme="minorHAnsi"/>
        </w:rPr>
        <w:t xml:space="preserve"> </w:t>
      </w:r>
      <w:r w:rsidR="00876187" w:rsidRPr="00435BC3">
        <w:rPr>
          <w:rFonts w:asciiTheme="minorHAnsi" w:hAnsiTheme="minorHAnsi" w:cstheme="minorHAnsi"/>
        </w:rPr>
        <w:t xml:space="preserve">I </w:t>
      </w:r>
      <w:r w:rsidR="00B52F84" w:rsidRPr="00435BC3">
        <w:rPr>
          <w:rFonts w:asciiTheme="minorHAnsi" w:hAnsiTheme="minorHAnsi" w:cstheme="minorHAnsi"/>
        </w:rPr>
        <w:t xml:space="preserve">&amp; NLC II scheduling was </w:t>
      </w:r>
      <w:r w:rsidR="00662A9D" w:rsidRPr="00435BC3">
        <w:rPr>
          <w:rFonts w:asciiTheme="minorHAnsi" w:hAnsiTheme="minorHAnsi" w:cstheme="minorHAnsi"/>
        </w:rPr>
        <w:t>low</w:t>
      </w:r>
      <w:r w:rsidR="0086116A" w:rsidRPr="00435BC3">
        <w:rPr>
          <w:rFonts w:asciiTheme="minorHAnsi" w:hAnsiTheme="minorHAnsi" w:cstheme="minorHAnsi"/>
        </w:rPr>
        <w:t>.</w:t>
      </w:r>
    </w:p>
    <w:p w:rsidR="004865E1" w:rsidRPr="00435BC3" w:rsidRDefault="00A15462" w:rsidP="00060FA4">
      <w:pPr>
        <w:pStyle w:val="ListParagraph"/>
        <w:numPr>
          <w:ilvl w:val="0"/>
          <w:numId w:val="8"/>
        </w:numPr>
        <w:jc w:val="both"/>
        <w:rPr>
          <w:rFonts w:asciiTheme="minorHAnsi" w:hAnsiTheme="minorHAnsi" w:cstheme="minorHAnsi"/>
        </w:rPr>
      </w:pPr>
      <w:r w:rsidRPr="00435BC3">
        <w:rPr>
          <w:rFonts w:asciiTheme="minorHAnsi" w:hAnsiTheme="minorHAnsi" w:cstheme="minorHAnsi"/>
        </w:rPr>
        <w:t>Considering the high variable cha</w:t>
      </w:r>
      <w:r w:rsidR="004865E1" w:rsidRPr="00435BC3">
        <w:rPr>
          <w:rFonts w:asciiTheme="minorHAnsi" w:hAnsiTheme="minorHAnsi" w:cstheme="minorHAnsi"/>
        </w:rPr>
        <w:t>r</w:t>
      </w:r>
      <w:r w:rsidRPr="00435BC3">
        <w:rPr>
          <w:rFonts w:asciiTheme="minorHAnsi" w:hAnsiTheme="minorHAnsi" w:cstheme="minorHAnsi"/>
        </w:rPr>
        <w:t xml:space="preserve">ge of plants like </w:t>
      </w:r>
      <w:r w:rsidR="00205FFD" w:rsidRPr="00435BC3">
        <w:rPr>
          <w:rFonts w:asciiTheme="minorHAnsi" w:hAnsiTheme="minorHAnsi" w:cstheme="minorHAnsi"/>
        </w:rPr>
        <w:t xml:space="preserve">NTPC </w:t>
      </w:r>
      <w:proofErr w:type="spellStart"/>
      <w:r w:rsidR="00456ECD" w:rsidRPr="00435BC3">
        <w:rPr>
          <w:rFonts w:asciiTheme="minorHAnsi" w:hAnsiTheme="minorHAnsi" w:cstheme="minorHAnsi"/>
        </w:rPr>
        <w:t>K</w:t>
      </w:r>
      <w:r w:rsidRPr="00435BC3">
        <w:rPr>
          <w:rFonts w:asciiTheme="minorHAnsi" w:hAnsiTheme="minorHAnsi" w:cstheme="minorHAnsi"/>
        </w:rPr>
        <w:t>udgi</w:t>
      </w:r>
      <w:proofErr w:type="spellEnd"/>
      <w:r w:rsidRPr="00435BC3">
        <w:rPr>
          <w:rFonts w:asciiTheme="minorHAnsi" w:hAnsiTheme="minorHAnsi" w:cstheme="minorHAnsi"/>
        </w:rPr>
        <w:t xml:space="preserve">, their scheduling was </w:t>
      </w:r>
      <w:r w:rsidR="00662A9D" w:rsidRPr="00435BC3">
        <w:rPr>
          <w:rFonts w:asciiTheme="minorHAnsi" w:hAnsiTheme="minorHAnsi" w:cstheme="minorHAnsi"/>
        </w:rPr>
        <w:t>low</w:t>
      </w:r>
      <w:r w:rsidRPr="00435BC3">
        <w:rPr>
          <w:rFonts w:asciiTheme="minorHAnsi" w:hAnsiTheme="minorHAnsi" w:cstheme="minorHAnsi"/>
        </w:rPr>
        <w:t xml:space="preserve"> </w:t>
      </w:r>
      <w:r w:rsidR="004865E1" w:rsidRPr="00435BC3">
        <w:rPr>
          <w:rFonts w:asciiTheme="minorHAnsi" w:hAnsiTheme="minorHAnsi" w:cstheme="minorHAnsi"/>
        </w:rPr>
        <w:t xml:space="preserve">in accordance with the Merit Order </w:t>
      </w:r>
      <w:proofErr w:type="spellStart"/>
      <w:r w:rsidR="004865E1" w:rsidRPr="00435BC3">
        <w:rPr>
          <w:rFonts w:asciiTheme="minorHAnsi" w:hAnsiTheme="minorHAnsi" w:cstheme="minorHAnsi"/>
        </w:rPr>
        <w:t>Despatch</w:t>
      </w:r>
      <w:proofErr w:type="spellEnd"/>
      <w:r w:rsidR="004865E1" w:rsidRPr="00435BC3">
        <w:rPr>
          <w:rFonts w:asciiTheme="minorHAnsi" w:hAnsiTheme="minorHAnsi" w:cstheme="minorHAnsi"/>
        </w:rPr>
        <w:t>.</w:t>
      </w:r>
      <w:r w:rsidR="00205FFD" w:rsidRPr="00435BC3">
        <w:rPr>
          <w:rFonts w:asciiTheme="minorHAnsi" w:hAnsiTheme="minorHAnsi" w:cstheme="minorHAnsi"/>
        </w:rPr>
        <w:t xml:space="preserve"> </w:t>
      </w:r>
    </w:p>
    <w:p w:rsidR="00662A9D" w:rsidRPr="00435BC3" w:rsidRDefault="00662A9D" w:rsidP="00060FA4">
      <w:pPr>
        <w:pStyle w:val="ListParagraph"/>
        <w:numPr>
          <w:ilvl w:val="0"/>
          <w:numId w:val="8"/>
        </w:numPr>
        <w:jc w:val="both"/>
        <w:rPr>
          <w:rFonts w:asciiTheme="minorHAnsi" w:hAnsiTheme="minorHAnsi" w:cstheme="minorHAnsi"/>
        </w:rPr>
      </w:pPr>
      <w:r w:rsidRPr="00435BC3">
        <w:rPr>
          <w:rFonts w:asciiTheme="minorHAnsi" w:hAnsiTheme="minorHAnsi" w:cstheme="minorHAnsi"/>
        </w:rPr>
        <w:t>It is further submitted that in FY 2020-21</w:t>
      </w:r>
      <w:r w:rsidR="001D16F9" w:rsidRPr="00435BC3">
        <w:rPr>
          <w:rFonts w:asciiTheme="minorHAnsi" w:hAnsiTheme="minorHAnsi" w:cstheme="minorHAnsi"/>
        </w:rPr>
        <w:t xml:space="preserve">, actual Hydel generation was 14% higher than the energy dispatch as approved by the Hon’ble Commission which led to lower scheduling from other remaining optional plants (like CGS, TSGENCO etc). </w:t>
      </w:r>
    </w:p>
    <w:p w:rsidR="00800A6B" w:rsidRPr="00435BC3" w:rsidRDefault="00800A6B" w:rsidP="00B46558">
      <w:pPr>
        <w:pStyle w:val="ListParagraph"/>
        <w:numPr>
          <w:ilvl w:val="0"/>
          <w:numId w:val="8"/>
        </w:numPr>
        <w:jc w:val="both"/>
        <w:rPr>
          <w:rFonts w:asciiTheme="minorHAnsi" w:hAnsiTheme="minorHAnsi" w:cstheme="minorHAnsi"/>
        </w:rPr>
      </w:pPr>
      <w:r w:rsidRPr="00435BC3">
        <w:rPr>
          <w:rFonts w:asciiTheme="minorHAnsi" w:hAnsiTheme="minorHAnsi" w:cstheme="minorHAnsi"/>
        </w:rPr>
        <w:t>It is further submitted that TSDISCOMs has considered 187 MU of actual surplus power sold in H1 of FY 2020-21 in the filing.</w:t>
      </w:r>
    </w:p>
    <w:p w:rsidR="005204D9" w:rsidRPr="00435BC3" w:rsidRDefault="005C64D5" w:rsidP="00B46558">
      <w:pPr>
        <w:pStyle w:val="ListParagraph"/>
        <w:numPr>
          <w:ilvl w:val="0"/>
          <w:numId w:val="8"/>
        </w:numPr>
        <w:jc w:val="both"/>
        <w:rPr>
          <w:rFonts w:asciiTheme="minorHAnsi" w:hAnsiTheme="minorHAnsi" w:cstheme="minorHAnsi"/>
        </w:rPr>
      </w:pPr>
      <w:r w:rsidRPr="00435BC3">
        <w:rPr>
          <w:rFonts w:asciiTheme="minorHAnsi" w:hAnsiTheme="minorHAnsi" w:cstheme="minorHAnsi"/>
        </w:rPr>
        <w:t xml:space="preserve">As we can see above, the dispatch did not match the </w:t>
      </w:r>
      <w:proofErr w:type="gramStart"/>
      <w:r w:rsidRPr="00435BC3">
        <w:rPr>
          <w:rFonts w:asciiTheme="minorHAnsi" w:hAnsiTheme="minorHAnsi" w:cstheme="minorHAnsi"/>
        </w:rPr>
        <w:t>requirement,</w:t>
      </w:r>
      <w:proofErr w:type="gramEnd"/>
      <w:r w:rsidRPr="00435BC3">
        <w:rPr>
          <w:rFonts w:asciiTheme="minorHAnsi" w:hAnsiTheme="minorHAnsi" w:cstheme="minorHAnsi"/>
        </w:rPr>
        <w:t xml:space="preserve"> TSDISCOMs had to depend purchase from short term market for the deficit of 8973 MU</w:t>
      </w:r>
      <w:r w:rsidR="00B46558" w:rsidRPr="00435BC3">
        <w:rPr>
          <w:rFonts w:asciiTheme="minorHAnsi" w:hAnsiTheme="minorHAnsi" w:cstheme="minorHAnsi"/>
        </w:rPr>
        <w:t>.</w:t>
      </w:r>
    </w:p>
    <w:p w:rsidR="00800A6B" w:rsidRPr="00435BC3" w:rsidRDefault="00800A6B" w:rsidP="00060FA4">
      <w:pPr>
        <w:jc w:val="both"/>
        <w:rPr>
          <w:rFonts w:asciiTheme="minorHAnsi" w:hAnsiTheme="minorHAnsi" w:cstheme="minorHAnsi"/>
          <w:b/>
          <w:bCs/>
        </w:rPr>
      </w:pPr>
    </w:p>
    <w:p w:rsidR="00060FA4" w:rsidRPr="00435BC3" w:rsidRDefault="00060FA4" w:rsidP="00060FA4">
      <w:pPr>
        <w:jc w:val="both"/>
        <w:rPr>
          <w:rFonts w:asciiTheme="minorHAnsi" w:hAnsiTheme="minorHAnsi" w:cstheme="minorHAnsi"/>
          <w:b/>
          <w:bCs/>
          <w:u w:val="single"/>
        </w:rPr>
      </w:pPr>
      <w:r w:rsidRPr="00435BC3">
        <w:rPr>
          <w:rFonts w:asciiTheme="minorHAnsi" w:hAnsiTheme="minorHAnsi" w:cstheme="minorHAnsi"/>
          <w:b/>
          <w:bCs/>
          <w:u w:val="single"/>
        </w:rPr>
        <w:t>FY 2021-22</w:t>
      </w:r>
    </w:p>
    <w:p w:rsidR="0073008A" w:rsidRPr="00435BC3" w:rsidRDefault="0073008A" w:rsidP="003478BF">
      <w:pPr>
        <w:pStyle w:val="Caption"/>
        <w:rPr>
          <w:rFonts w:asciiTheme="minorHAnsi" w:hAnsiTheme="minorHAnsi" w:cstheme="minorHAnsi"/>
        </w:rPr>
      </w:pPr>
      <w:r w:rsidRPr="00435BC3">
        <w:rPr>
          <w:rFonts w:asciiTheme="minorHAnsi" w:hAnsiTheme="minorHAnsi" w:cstheme="minorHAnsi"/>
        </w:rPr>
        <w:t xml:space="preserve">Table </w:t>
      </w:r>
      <w:r w:rsidR="00B52A87" w:rsidRPr="00435BC3">
        <w:rPr>
          <w:rFonts w:asciiTheme="minorHAnsi" w:hAnsiTheme="minorHAnsi" w:cstheme="minorHAnsi"/>
        </w:rPr>
        <w:fldChar w:fldCharType="begin"/>
      </w:r>
      <w:r w:rsidR="004608D8" w:rsidRPr="00435BC3">
        <w:rPr>
          <w:rFonts w:asciiTheme="minorHAnsi" w:hAnsiTheme="minorHAnsi" w:cstheme="minorHAnsi"/>
        </w:rPr>
        <w:instrText xml:space="preserve"> SEQ Table \* ARABIC </w:instrText>
      </w:r>
      <w:r w:rsidR="00B52A87" w:rsidRPr="00435BC3">
        <w:rPr>
          <w:rFonts w:asciiTheme="minorHAnsi" w:hAnsiTheme="minorHAnsi" w:cstheme="minorHAnsi"/>
        </w:rPr>
        <w:fldChar w:fldCharType="separate"/>
      </w:r>
      <w:r w:rsidR="00346E72">
        <w:rPr>
          <w:rFonts w:asciiTheme="minorHAnsi" w:hAnsiTheme="minorHAnsi" w:cstheme="minorHAnsi"/>
          <w:noProof/>
        </w:rPr>
        <w:t>3</w:t>
      </w:r>
      <w:r w:rsidR="00B52A87" w:rsidRPr="00435BC3">
        <w:rPr>
          <w:rFonts w:asciiTheme="minorHAnsi" w:hAnsiTheme="minorHAnsi" w:cstheme="minorHAnsi"/>
          <w:noProof/>
        </w:rPr>
        <w:fldChar w:fldCharType="end"/>
      </w:r>
      <w:r w:rsidRPr="00435BC3">
        <w:rPr>
          <w:rFonts w:asciiTheme="minorHAnsi" w:hAnsiTheme="minorHAnsi" w:cstheme="minorHAnsi"/>
        </w:rPr>
        <w:t xml:space="preserve"> Power Surplus/ Deficit Variance (MU) for FY 2021-22</w:t>
      </w:r>
    </w:p>
    <w:tbl>
      <w:tblPr>
        <w:tblW w:w="0" w:type="auto"/>
        <w:tblLook w:val="04A0"/>
      </w:tblPr>
      <w:tblGrid>
        <w:gridCol w:w="627"/>
        <w:gridCol w:w="4370"/>
        <w:gridCol w:w="1094"/>
        <w:gridCol w:w="1256"/>
        <w:gridCol w:w="1139"/>
        <w:gridCol w:w="1090"/>
      </w:tblGrid>
      <w:tr w:rsidR="00FB56AC" w:rsidRPr="004F43A0" w:rsidTr="00346E72">
        <w:trPr>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b/>
                <w:bCs/>
                <w:color w:val="000000"/>
                <w:szCs w:val="24"/>
              </w:rPr>
            </w:pPr>
            <w:r w:rsidRPr="004F43A0">
              <w:rPr>
                <w:rFonts w:eastAsia="Times New Roman" w:cs="Calibri"/>
                <w:b/>
                <w:bCs/>
                <w:color w:val="000000"/>
                <w:szCs w:val="24"/>
              </w:rPr>
              <w:t>S. No</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b/>
                <w:bCs/>
                <w:color w:val="000000"/>
                <w:szCs w:val="24"/>
              </w:rPr>
            </w:pPr>
            <w:r w:rsidRPr="004F43A0">
              <w:rPr>
                <w:rFonts w:eastAsia="Times New Roman" w:cs="Calibri"/>
                <w:b/>
                <w:bCs/>
                <w:color w:val="000000"/>
                <w:szCs w:val="24"/>
              </w:rPr>
              <w:t>Particulars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Filed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Approved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Actuals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Variance</w:t>
            </w:r>
          </w:p>
        </w:tc>
      </w:tr>
      <w:tr w:rsidR="00FB56AC" w:rsidRPr="004F43A0" w:rsidTr="00346E72">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56AC" w:rsidRPr="004F43A0" w:rsidRDefault="00FB56AC" w:rsidP="00346E72">
            <w:pPr>
              <w:spacing w:after="0" w:line="240" w:lineRule="auto"/>
              <w:rPr>
                <w:rFonts w:eastAsia="Times New Roman" w:cs="Calibri"/>
                <w:b/>
                <w:bCs/>
                <w:color w:val="000000"/>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56AC" w:rsidRPr="004F43A0" w:rsidRDefault="00FB56AC" w:rsidP="00346E72">
            <w:pPr>
              <w:spacing w:after="0" w:line="240" w:lineRule="auto"/>
              <w:rPr>
                <w:rFonts w:eastAsia="Times New Roman" w:cs="Calibri"/>
                <w:b/>
                <w:bCs/>
                <w:color w:val="000000"/>
                <w:szCs w:val="24"/>
              </w:rPr>
            </w:pP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FY 2021-22</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FY 2018-19</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FY 2021-22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56AC" w:rsidRPr="004F43A0" w:rsidRDefault="00FB56AC" w:rsidP="00346E72">
            <w:pPr>
              <w:spacing w:after="0" w:line="240" w:lineRule="auto"/>
              <w:rPr>
                <w:rFonts w:eastAsia="Times New Roman" w:cs="Calibri"/>
                <w:b/>
                <w:bCs/>
                <w:color w:val="000000"/>
                <w:szCs w:val="24"/>
              </w:rPr>
            </w:pPr>
          </w:p>
        </w:tc>
      </w:tr>
      <w:tr w:rsidR="00FB56AC" w:rsidRPr="004F43A0" w:rsidTr="00346E72">
        <w:trPr>
          <w:trHeight w:val="20"/>
          <w:tblHead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2</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3</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6 = 5-3</w:t>
            </w:r>
          </w:p>
        </w:tc>
      </w:tr>
      <w:tr w:rsidR="00FB56AC" w:rsidRPr="004F43A0" w:rsidTr="00346E72">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b/>
                <w:bCs/>
                <w:color w:val="000000"/>
                <w:szCs w:val="24"/>
              </w:rPr>
            </w:pPr>
            <w:r w:rsidRPr="004F43A0">
              <w:rPr>
                <w:rFonts w:eastAsia="Times New Roman" w:cs="Calibri"/>
                <w:b/>
                <w:bCs/>
                <w:color w:val="000000"/>
                <w:szCs w:val="24"/>
              </w:rPr>
              <w:t>Energy Availability</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1a</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TS GENCO</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29708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21661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28570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(1138)</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1b</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CGS</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14449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15873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15172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723 </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1c</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NCE</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7964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5200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6649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(1315)</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1d</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Others*</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22447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21785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16917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(5530)</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1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b/>
                <w:bCs/>
                <w:color w:val="000000"/>
                <w:szCs w:val="24"/>
              </w:rPr>
            </w:pPr>
            <w:r w:rsidRPr="004F43A0">
              <w:rPr>
                <w:rFonts w:eastAsia="Times New Roman" w:cs="Calibri"/>
                <w:b/>
                <w:bCs/>
                <w:color w:val="000000"/>
                <w:szCs w:val="24"/>
              </w:rPr>
              <w:t>Total Energy Availability</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74568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64519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67308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(7260)</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2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b/>
                <w:bCs/>
                <w:color w:val="000000"/>
                <w:szCs w:val="24"/>
              </w:rPr>
            </w:pPr>
            <w:r w:rsidRPr="004F43A0">
              <w:rPr>
                <w:rFonts w:eastAsia="Times New Roman" w:cs="Calibri"/>
                <w:b/>
                <w:bCs/>
                <w:color w:val="000000"/>
                <w:szCs w:val="24"/>
              </w:rPr>
              <w:t>Total Energy Requirement</w:t>
            </w:r>
            <w:r w:rsidRPr="00FB56AC">
              <w:rPr>
                <w:rFonts w:eastAsia="Times New Roman" w:cs="Calibri"/>
                <w:b/>
                <w:bCs/>
                <w:color w:val="000000"/>
                <w:szCs w:val="24"/>
                <w:vertAlign w:val="superscript"/>
              </w:rPr>
              <w:t>$</w:t>
            </w:r>
          </w:p>
        </w:tc>
        <w:tc>
          <w:tcPr>
            <w:tcW w:w="0" w:type="auto"/>
            <w:tcBorders>
              <w:top w:val="nil"/>
              <w:left w:val="nil"/>
              <w:bottom w:val="nil"/>
              <w:right w:val="nil"/>
            </w:tcBorders>
            <w:shd w:val="clear" w:color="auto" w:fill="auto"/>
            <w:noWrap/>
            <w:vAlign w:val="center"/>
            <w:hideMark/>
          </w:tcPr>
          <w:p w:rsidR="00FB56AC" w:rsidRPr="004F43A0" w:rsidRDefault="00FB56AC" w:rsidP="00346E72">
            <w:pPr>
              <w:spacing w:after="0" w:line="240" w:lineRule="auto"/>
              <w:jc w:val="center"/>
              <w:rPr>
                <w:rFonts w:ascii="Arial" w:eastAsia="Times New Roman" w:hAnsi="Arial"/>
                <w:b/>
                <w:bCs/>
                <w:sz w:val="22"/>
              </w:rPr>
            </w:pPr>
            <w:r w:rsidRPr="004F43A0">
              <w:rPr>
                <w:rFonts w:ascii="Arial" w:eastAsia="Times New Roman" w:hAnsi="Arial"/>
                <w:b/>
                <w:bCs/>
                <w:sz w:val="22"/>
              </w:rPr>
              <w:t xml:space="preserve">77901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57631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73486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(4415)</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3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Surplus/ (deficit) before Market purchase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(3333)</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6888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(6178)</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(2845)</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4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Short term Power Purchase</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3335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1159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6784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3449 </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5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Total Energy Availability from firm sources including market sources</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77901 </w:t>
            </w:r>
          </w:p>
        </w:tc>
        <w:tc>
          <w:tcPr>
            <w:tcW w:w="0" w:type="auto"/>
            <w:tcBorders>
              <w:top w:val="nil"/>
              <w:left w:val="nil"/>
              <w:bottom w:val="single" w:sz="4" w:space="0" w:color="auto"/>
              <w:right w:val="single" w:sz="4" w:space="0" w:color="auto"/>
            </w:tcBorders>
            <w:shd w:val="clear" w:color="auto" w:fill="auto"/>
            <w:noWrap/>
            <w:vAlign w:val="center"/>
            <w:hideMark/>
          </w:tcPr>
          <w:p w:rsidR="00FB56AC" w:rsidRPr="004F43A0" w:rsidRDefault="00FB56AC" w:rsidP="00346E72">
            <w:pPr>
              <w:spacing w:after="0" w:line="240" w:lineRule="auto"/>
              <w:jc w:val="center"/>
              <w:rPr>
                <w:rFonts w:eastAsia="Times New Roman" w:cs="Calibri"/>
                <w:color w:val="000000"/>
                <w:sz w:val="22"/>
              </w:rPr>
            </w:pPr>
            <w:r w:rsidRPr="004F43A0">
              <w:rPr>
                <w:rFonts w:eastAsia="Times New Roman" w:cs="Calibri"/>
                <w:color w:val="000000"/>
                <w:sz w:val="22"/>
              </w:rPr>
              <w:t xml:space="preserve">65678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74092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(3809)</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6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Surplus/ (deficit) including Market purchase</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0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8047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606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606 </w:t>
            </w:r>
          </w:p>
        </w:tc>
      </w:tr>
    </w:tbl>
    <w:p w:rsidR="00DD5EB8" w:rsidRPr="00435BC3" w:rsidRDefault="00DD5EB8" w:rsidP="00DD5EB8">
      <w:pPr>
        <w:spacing w:after="0"/>
        <w:jc w:val="both"/>
        <w:rPr>
          <w:rFonts w:asciiTheme="minorHAnsi" w:hAnsiTheme="minorHAnsi" w:cstheme="minorHAnsi"/>
          <w:sz w:val="22"/>
          <w:szCs w:val="20"/>
        </w:rPr>
      </w:pPr>
      <w:r w:rsidRPr="00435BC3">
        <w:rPr>
          <w:rFonts w:asciiTheme="minorHAnsi" w:hAnsiTheme="minorHAnsi" w:cstheme="minorHAnsi"/>
          <w:sz w:val="22"/>
          <w:szCs w:val="20"/>
        </w:rPr>
        <w:t xml:space="preserve">* SEIL, CSPDCL, </w:t>
      </w:r>
      <w:proofErr w:type="spellStart"/>
      <w:r w:rsidRPr="00435BC3">
        <w:rPr>
          <w:rFonts w:asciiTheme="minorHAnsi" w:hAnsiTheme="minorHAnsi" w:cstheme="minorHAnsi"/>
          <w:sz w:val="22"/>
          <w:szCs w:val="20"/>
        </w:rPr>
        <w:t>Singareni</w:t>
      </w:r>
      <w:proofErr w:type="spellEnd"/>
      <w:r w:rsidRPr="00435BC3">
        <w:rPr>
          <w:rFonts w:asciiTheme="minorHAnsi" w:hAnsiTheme="minorHAnsi" w:cstheme="minorHAnsi"/>
          <w:sz w:val="22"/>
          <w:szCs w:val="20"/>
        </w:rPr>
        <w:t>, PTC India</w:t>
      </w:r>
    </w:p>
    <w:p w:rsidR="00DD5EB8" w:rsidRPr="00435BC3" w:rsidRDefault="00DD5EB8" w:rsidP="00DD5EB8">
      <w:pPr>
        <w:spacing w:after="0"/>
        <w:jc w:val="both"/>
        <w:rPr>
          <w:rFonts w:asciiTheme="minorHAnsi" w:hAnsiTheme="minorHAnsi" w:cstheme="minorHAnsi"/>
          <w:sz w:val="22"/>
          <w:szCs w:val="20"/>
        </w:rPr>
      </w:pPr>
      <w:r w:rsidRPr="00435BC3">
        <w:rPr>
          <w:rFonts w:asciiTheme="minorHAnsi" w:hAnsiTheme="minorHAnsi" w:cstheme="minorHAnsi"/>
          <w:sz w:val="22"/>
          <w:szCs w:val="20"/>
        </w:rPr>
        <w:lastRenderedPageBreak/>
        <w:t>$ Requirement calculated by using approved losses</w:t>
      </w:r>
    </w:p>
    <w:p w:rsidR="0045552C" w:rsidRPr="00435BC3" w:rsidRDefault="0045552C" w:rsidP="00742E2C">
      <w:pPr>
        <w:jc w:val="both"/>
        <w:rPr>
          <w:rFonts w:asciiTheme="minorHAnsi" w:hAnsiTheme="minorHAnsi" w:cstheme="minorHAnsi"/>
        </w:rPr>
      </w:pPr>
    </w:p>
    <w:p w:rsidR="00B46558" w:rsidRPr="00435BC3" w:rsidRDefault="00B44CB4" w:rsidP="00B46558">
      <w:pPr>
        <w:pStyle w:val="ListParagraph"/>
        <w:numPr>
          <w:ilvl w:val="0"/>
          <w:numId w:val="10"/>
        </w:numPr>
        <w:jc w:val="both"/>
        <w:rPr>
          <w:rFonts w:asciiTheme="minorHAnsi" w:hAnsiTheme="minorHAnsi" w:cstheme="minorHAnsi"/>
        </w:rPr>
      </w:pPr>
      <w:r w:rsidRPr="00435BC3">
        <w:rPr>
          <w:rFonts w:asciiTheme="minorHAnsi" w:hAnsiTheme="minorHAnsi" w:cstheme="minorHAnsi"/>
        </w:rPr>
        <w:t xml:space="preserve">It can be seen from the above table </w:t>
      </w:r>
      <w:r w:rsidR="00A03347" w:rsidRPr="00435BC3">
        <w:rPr>
          <w:rFonts w:asciiTheme="minorHAnsi" w:hAnsiTheme="minorHAnsi" w:cstheme="minorHAnsi"/>
        </w:rPr>
        <w:t>that there has been a significa</w:t>
      </w:r>
      <w:r w:rsidR="00187CDC" w:rsidRPr="00435BC3">
        <w:rPr>
          <w:rFonts w:asciiTheme="minorHAnsi" w:hAnsiTheme="minorHAnsi" w:cstheme="minorHAnsi"/>
        </w:rPr>
        <w:t xml:space="preserve">nt variance between </w:t>
      </w:r>
      <w:r w:rsidR="00DC2057" w:rsidRPr="00435BC3">
        <w:rPr>
          <w:rFonts w:asciiTheme="minorHAnsi" w:hAnsiTheme="minorHAnsi" w:cstheme="minorHAnsi"/>
        </w:rPr>
        <w:t xml:space="preserve">all major firm sources. </w:t>
      </w:r>
    </w:p>
    <w:p w:rsidR="00DC2057" w:rsidRPr="00435BC3" w:rsidRDefault="00DD7AEB" w:rsidP="00B46558">
      <w:pPr>
        <w:pStyle w:val="ListParagraph"/>
        <w:numPr>
          <w:ilvl w:val="0"/>
          <w:numId w:val="10"/>
        </w:numPr>
        <w:jc w:val="both"/>
        <w:rPr>
          <w:rFonts w:asciiTheme="minorHAnsi" w:hAnsiTheme="minorHAnsi" w:cstheme="minorHAnsi"/>
        </w:rPr>
      </w:pPr>
      <w:r w:rsidRPr="00435BC3">
        <w:rPr>
          <w:rFonts w:asciiTheme="minorHAnsi" w:hAnsiTheme="minorHAnsi" w:cstheme="minorHAnsi"/>
        </w:rPr>
        <w:t>In CGS , BTPS Unit 1, 2 &amp; 3 were commissioned in FY 20 and 4th unit was to be commissioned in July 2021. However</w:t>
      </w:r>
      <w:r w:rsidR="005E627B" w:rsidRPr="00435BC3">
        <w:rPr>
          <w:rFonts w:asciiTheme="minorHAnsi" w:hAnsiTheme="minorHAnsi" w:cstheme="minorHAnsi"/>
        </w:rPr>
        <w:t>,</w:t>
      </w:r>
      <w:r w:rsidRPr="00435BC3">
        <w:rPr>
          <w:rFonts w:asciiTheme="minorHAnsi" w:hAnsiTheme="minorHAnsi" w:cstheme="minorHAnsi"/>
        </w:rPr>
        <w:t xml:space="preserve"> the commissioning of 4th Unit was delayed and the plant was commissioned on January 2022</w:t>
      </w:r>
      <w:r w:rsidR="00BB5260" w:rsidRPr="00435BC3">
        <w:rPr>
          <w:rFonts w:asciiTheme="minorHAnsi" w:hAnsiTheme="minorHAnsi" w:cstheme="minorHAnsi"/>
        </w:rPr>
        <w:t xml:space="preserve"> leading to </w:t>
      </w:r>
      <w:r w:rsidR="00F73A05" w:rsidRPr="00435BC3">
        <w:rPr>
          <w:rFonts w:asciiTheme="minorHAnsi" w:hAnsiTheme="minorHAnsi" w:cstheme="minorHAnsi"/>
        </w:rPr>
        <w:t>delay in the expected quantum of power to</w:t>
      </w:r>
      <w:r w:rsidR="00E50FCB" w:rsidRPr="00435BC3">
        <w:rPr>
          <w:rFonts w:asciiTheme="minorHAnsi" w:hAnsiTheme="minorHAnsi" w:cstheme="minorHAnsi"/>
        </w:rPr>
        <w:t xml:space="preserve"> TSDISCOMs from the BTPS plant.</w:t>
      </w:r>
      <w:r w:rsidR="00BB5260" w:rsidRPr="00435BC3">
        <w:rPr>
          <w:rFonts w:asciiTheme="minorHAnsi" w:hAnsiTheme="minorHAnsi" w:cstheme="minorHAnsi"/>
        </w:rPr>
        <w:t xml:space="preserve"> </w:t>
      </w:r>
    </w:p>
    <w:p w:rsidR="003364C9" w:rsidRPr="00435BC3" w:rsidRDefault="003364C9" w:rsidP="003364C9">
      <w:pPr>
        <w:pStyle w:val="ListParagraph"/>
        <w:numPr>
          <w:ilvl w:val="0"/>
          <w:numId w:val="10"/>
        </w:numPr>
        <w:jc w:val="both"/>
        <w:rPr>
          <w:rFonts w:asciiTheme="minorHAnsi" w:hAnsiTheme="minorHAnsi" w:cstheme="minorHAnsi"/>
        </w:rPr>
      </w:pPr>
      <w:r w:rsidRPr="00435BC3">
        <w:rPr>
          <w:rFonts w:asciiTheme="minorHAnsi" w:hAnsiTheme="minorHAnsi" w:cstheme="minorHAnsi"/>
        </w:rPr>
        <w:t xml:space="preserve">For few plants like NPC </w:t>
      </w:r>
      <w:proofErr w:type="spellStart"/>
      <w:r w:rsidRPr="00435BC3">
        <w:rPr>
          <w:rFonts w:asciiTheme="minorHAnsi" w:hAnsiTheme="minorHAnsi" w:cstheme="minorHAnsi"/>
        </w:rPr>
        <w:t>Kaiga</w:t>
      </w:r>
      <w:proofErr w:type="spellEnd"/>
      <w:r w:rsidRPr="00435BC3">
        <w:rPr>
          <w:rFonts w:asciiTheme="minorHAnsi" w:hAnsiTheme="minorHAnsi" w:cstheme="minorHAnsi"/>
        </w:rPr>
        <w:t xml:space="preserve"> unit III &amp; IV </w:t>
      </w:r>
      <w:r w:rsidR="00662A9D" w:rsidRPr="00435BC3">
        <w:rPr>
          <w:rFonts w:asciiTheme="minorHAnsi" w:hAnsiTheme="minorHAnsi" w:cstheme="minorHAnsi"/>
        </w:rPr>
        <w:t>there was zero scheduling</w:t>
      </w:r>
      <w:r w:rsidRPr="00435BC3">
        <w:rPr>
          <w:rFonts w:asciiTheme="minorHAnsi" w:hAnsiTheme="minorHAnsi" w:cstheme="minorHAnsi"/>
        </w:rPr>
        <w:t>.</w:t>
      </w:r>
      <w:r w:rsidR="00662A9D" w:rsidRPr="00435BC3">
        <w:rPr>
          <w:rFonts w:asciiTheme="minorHAnsi" w:hAnsiTheme="minorHAnsi" w:cstheme="minorHAnsi"/>
        </w:rPr>
        <w:t xml:space="preserve"> </w:t>
      </w:r>
    </w:p>
    <w:p w:rsidR="00662A9D" w:rsidRPr="00435BC3" w:rsidRDefault="003364C9" w:rsidP="003364C9">
      <w:pPr>
        <w:pStyle w:val="ListParagraph"/>
        <w:numPr>
          <w:ilvl w:val="0"/>
          <w:numId w:val="10"/>
        </w:numPr>
        <w:jc w:val="both"/>
        <w:rPr>
          <w:rFonts w:asciiTheme="minorHAnsi" w:hAnsiTheme="minorHAnsi" w:cstheme="minorHAnsi"/>
        </w:rPr>
      </w:pPr>
      <w:r w:rsidRPr="00435BC3">
        <w:rPr>
          <w:rFonts w:asciiTheme="minorHAnsi" w:hAnsiTheme="minorHAnsi" w:cstheme="minorHAnsi"/>
        </w:rPr>
        <w:t xml:space="preserve">For other </w:t>
      </w:r>
      <w:r w:rsidR="00456ECD" w:rsidRPr="00435BC3">
        <w:rPr>
          <w:rFonts w:asciiTheme="minorHAnsi" w:hAnsiTheme="minorHAnsi" w:cstheme="minorHAnsi"/>
        </w:rPr>
        <w:t xml:space="preserve">CGS </w:t>
      </w:r>
      <w:r w:rsidRPr="00435BC3">
        <w:rPr>
          <w:rFonts w:asciiTheme="minorHAnsi" w:hAnsiTheme="minorHAnsi" w:cstheme="minorHAnsi"/>
        </w:rPr>
        <w:t xml:space="preserve">plants like </w:t>
      </w:r>
      <w:proofErr w:type="spellStart"/>
      <w:r w:rsidRPr="00435BC3">
        <w:rPr>
          <w:rFonts w:asciiTheme="minorHAnsi" w:hAnsiTheme="minorHAnsi" w:cstheme="minorHAnsi"/>
        </w:rPr>
        <w:t>Simhadri</w:t>
      </w:r>
      <w:proofErr w:type="spellEnd"/>
      <w:r w:rsidRPr="00435BC3">
        <w:rPr>
          <w:rFonts w:asciiTheme="minorHAnsi" w:hAnsiTheme="minorHAnsi" w:cstheme="minorHAnsi"/>
        </w:rPr>
        <w:t xml:space="preserve"> I</w:t>
      </w:r>
      <w:r w:rsidR="00662A9D" w:rsidRPr="00435BC3">
        <w:rPr>
          <w:rFonts w:asciiTheme="minorHAnsi" w:hAnsiTheme="minorHAnsi" w:cstheme="minorHAnsi"/>
        </w:rPr>
        <w:t>,</w:t>
      </w:r>
      <w:r w:rsidRPr="00435BC3">
        <w:rPr>
          <w:rFonts w:asciiTheme="minorHAnsi" w:hAnsiTheme="minorHAnsi" w:cstheme="minorHAnsi"/>
        </w:rPr>
        <w:t xml:space="preserve"> </w:t>
      </w:r>
      <w:r w:rsidR="00662A9D" w:rsidRPr="00435BC3">
        <w:rPr>
          <w:rFonts w:asciiTheme="minorHAnsi" w:hAnsiTheme="minorHAnsi" w:cstheme="minorHAnsi"/>
        </w:rPr>
        <w:t xml:space="preserve">scheduling </w:t>
      </w:r>
      <w:r w:rsidRPr="00435BC3">
        <w:rPr>
          <w:rFonts w:asciiTheme="minorHAnsi" w:hAnsiTheme="minorHAnsi" w:cstheme="minorHAnsi"/>
        </w:rPr>
        <w:t xml:space="preserve">was </w:t>
      </w:r>
      <w:r w:rsidR="00662A9D" w:rsidRPr="00435BC3">
        <w:rPr>
          <w:rFonts w:asciiTheme="minorHAnsi" w:hAnsiTheme="minorHAnsi" w:cstheme="minorHAnsi"/>
        </w:rPr>
        <w:t xml:space="preserve">low. </w:t>
      </w:r>
    </w:p>
    <w:p w:rsidR="003364C9" w:rsidRPr="00435BC3" w:rsidRDefault="003364C9" w:rsidP="003364C9">
      <w:pPr>
        <w:pStyle w:val="ListParagraph"/>
        <w:numPr>
          <w:ilvl w:val="0"/>
          <w:numId w:val="10"/>
        </w:numPr>
        <w:jc w:val="both"/>
        <w:rPr>
          <w:rFonts w:asciiTheme="minorHAnsi" w:hAnsiTheme="minorHAnsi" w:cstheme="minorHAnsi"/>
        </w:rPr>
      </w:pPr>
      <w:r w:rsidRPr="00435BC3">
        <w:rPr>
          <w:rFonts w:asciiTheme="minorHAnsi" w:hAnsiTheme="minorHAnsi" w:cstheme="minorHAnsi"/>
        </w:rPr>
        <w:t xml:space="preserve">Considering the high variable charge of plants like </w:t>
      </w:r>
      <w:proofErr w:type="spellStart"/>
      <w:r w:rsidR="00456ECD" w:rsidRPr="00435BC3">
        <w:rPr>
          <w:rFonts w:asciiTheme="minorHAnsi" w:hAnsiTheme="minorHAnsi" w:cstheme="minorHAnsi"/>
        </w:rPr>
        <w:t>K</w:t>
      </w:r>
      <w:r w:rsidRPr="00435BC3">
        <w:rPr>
          <w:rFonts w:asciiTheme="minorHAnsi" w:hAnsiTheme="minorHAnsi" w:cstheme="minorHAnsi"/>
        </w:rPr>
        <w:t>udgi</w:t>
      </w:r>
      <w:proofErr w:type="spellEnd"/>
      <w:r w:rsidRPr="00435BC3">
        <w:rPr>
          <w:rFonts w:asciiTheme="minorHAnsi" w:hAnsiTheme="minorHAnsi" w:cstheme="minorHAnsi"/>
        </w:rPr>
        <w:t xml:space="preserve">, their scheduling was less in accordance with the Merit Order </w:t>
      </w:r>
      <w:proofErr w:type="spellStart"/>
      <w:r w:rsidRPr="00435BC3">
        <w:rPr>
          <w:rFonts w:asciiTheme="minorHAnsi" w:hAnsiTheme="minorHAnsi" w:cstheme="minorHAnsi"/>
        </w:rPr>
        <w:t>Despatch</w:t>
      </w:r>
      <w:proofErr w:type="spellEnd"/>
      <w:r w:rsidRPr="00435BC3">
        <w:rPr>
          <w:rFonts w:asciiTheme="minorHAnsi" w:hAnsiTheme="minorHAnsi" w:cstheme="minorHAnsi"/>
        </w:rPr>
        <w:t>.</w:t>
      </w:r>
    </w:p>
    <w:p w:rsidR="00E50FCB" w:rsidRPr="00435BC3" w:rsidRDefault="00BC1A36" w:rsidP="00B46558">
      <w:pPr>
        <w:pStyle w:val="ListParagraph"/>
        <w:numPr>
          <w:ilvl w:val="0"/>
          <w:numId w:val="10"/>
        </w:numPr>
        <w:jc w:val="both"/>
        <w:rPr>
          <w:rFonts w:asciiTheme="minorHAnsi" w:hAnsiTheme="minorHAnsi" w:cstheme="minorHAnsi"/>
        </w:rPr>
      </w:pPr>
      <w:r w:rsidRPr="00435BC3">
        <w:rPr>
          <w:rFonts w:asciiTheme="minorHAnsi" w:hAnsiTheme="minorHAnsi" w:cstheme="minorHAnsi"/>
        </w:rPr>
        <w:t>Scheduling from NCE’s (Solar plants in particular) was 3</w:t>
      </w:r>
      <w:r w:rsidR="001D16F9" w:rsidRPr="00435BC3">
        <w:rPr>
          <w:rFonts w:asciiTheme="minorHAnsi" w:hAnsiTheme="minorHAnsi" w:cstheme="minorHAnsi"/>
        </w:rPr>
        <w:t>912</w:t>
      </w:r>
      <w:r w:rsidRPr="00435BC3">
        <w:rPr>
          <w:rFonts w:asciiTheme="minorHAnsi" w:hAnsiTheme="minorHAnsi" w:cstheme="minorHAnsi"/>
        </w:rPr>
        <w:t xml:space="preserve"> MU </w:t>
      </w:r>
      <w:r w:rsidR="00A94FF1" w:rsidRPr="00435BC3">
        <w:rPr>
          <w:rFonts w:asciiTheme="minorHAnsi" w:hAnsiTheme="minorHAnsi" w:cstheme="minorHAnsi"/>
        </w:rPr>
        <w:t>lower</w:t>
      </w:r>
      <w:r w:rsidR="00ED5813" w:rsidRPr="00435BC3">
        <w:rPr>
          <w:rFonts w:asciiTheme="minorHAnsi" w:hAnsiTheme="minorHAnsi" w:cstheme="minorHAnsi"/>
        </w:rPr>
        <w:t xml:space="preserve"> than projected </w:t>
      </w:r>
      <w:r w:rsidR="0038315F" w:rsidRPr="00435BC3">
        <w:rPr>
          <w:rFonts w:asciiTheme="minorHAnsi" w:hAnsiTheme="minorHAnsi" w:cstheme="minorHAnsi"/>
        </w:rPr>
        <w:t>availability</w:t>
      </w:r>
      <w:r w:rsidR="00ED5813" w:rsidRPr="00435BC3">
        <w:rPr>
          <w:rFonts w:asciiTheme="minorHAnsi" w:hAnsiTheme="minorHAnsi" w:cstheme="minorHAnsi"/>
        </w:rPr>
        <w:t>.</w:t>
      </w:r>
      <w:r w:rsidR="001D16F9" w:rsidRPr="00435BC3">
        <w:rPr>
          <w:rFonts w:asciiTheme="minorHAnsi" w:hAnsiTheme="minorHAnsi" w:cstheme="minorHAnsi"/>
          <w:b/>
          <w:bCs/>
          <w:highlight w:val="yellow"/>
        </w:rPr>
        <w:t xml:space="preserve"> </w:t>
      </w:r>
    </w:p>
    <w:p w:rsidR="0038315F" w:rsidRPr="00435BC3" w:rsidRDefault="0038315F" w:rsidP="0038315F">
      <w:pPr>
        <w:pStyle w:val="ListParagraph"/>
        <w:numPr>
          <w:ilvl w:val="0"/>
          <w:numId w:val="10"/>
        </w:numPr>
        <w:jc w:val="both"/>
        <w:rPr>
          <w:rFonts w:asciiTheme="minorHAnsi" w:hAnsiTheme="minorHAnsi" w:cstheme="minorHAnsi"/>
        </w:rPr>
      </w:pPr>
      <w:r w:rsidRPr="00435BC3">
        <w:rPr>
          <w:rFonts w:asciiTheme="minorHAnsi" w:hAnsiTheme="minorHAnsi" w:cstheme="minorHAnsi"/>
        </w:rPr>
        <w:t>For CSPDCL</w:t>
      </w:r>
      <w:r w:rsidR="00AF1E0E" w:rsidRPr="00435BC3">
        <w:rPr>
          <w:rFonts w:asciiTheme="minorHAnsi" w:hAnsiTheme="minorHAnsi" w:cstheme="minorHAnsi"/>
        </w:rPr>
        <w:t xml:space="preserve"> scheduling was 5200 MU </w:t>
      </w:r>
      <w:r w:rsidR="00A94FF1" w:rsidRPr="00435BC3">
        <w:rPr>
          <w:rFonts w:asciiTheme="minorHAnsi" w:hAnsiTheme="minorHAnsi" w:cstheme="minorHAnsi"/>
        </w:rPr>
        <w:t xml:space="preserve">lower </w:t>
      </w:r>
      <w:r w:rsidR="00AF1E0E" w:rsidRPr="00435BC3">
        <w:rPr>
          <w:rFonts w:asciiTheme="minorHAnsi" w:hAnsiTheme="minorHAnsi" w:cstheme="minorHAnsi"/>
        </w:rPr>
        <w:t>than the availability projected. I</w:t>
      </w:r>
      <w:r w:rsidR="0061684D" w:rsidRPr="00435BC3">
        <w:rPr>
          <w:rFonts w:asciiTheme="minorHAnsi" w:hAnsiTheme="minorHAnsi" w:cstheme="minorHAnsi"/>
        </w:rPr>
        <w:t xml:space="preserve">n addition to the </w:t>
      </w:r>
      <w:r w:rsidR="00AF1E0E" w:rsidRPr="00435BC3">
        <w:rPr>
          <w:rFonts w:asciiTheme="minorHAnsi" w:hAnsiTheme="minorHAnsi" w:cstheme="minorHAnsi"/>
        </w:rPr>
        <w:t xml:space="preserve">few issues related to discrepancies in invoices raised by CSPDCL (as explained above) there was also dispute over the outstanding dues as per CSPDCL and TSDISCOMS. These disagreements resulted in considerably low scheduling of power by CSPDCL. </w:t>
      </w:r>
    </w:p>
    <w:p w:rsidR="001D16F9" w:rsidRPr="00435BC3" w:rsidRDefault="001D16F9" w:rsidP="001D16F9">
      <w:pPr>
        <w:pStyle w:val="ListParagraph"/>
        <w:numPr>
          <w:ilvl w:val="0"/>
          <w:numId w:val="10"/>
        </w:numPr>
        <w:jc w:val="both"/>
        <w:rPr>
          <w:rFonts w:asciiTheme="minorHAnsi" w:hAnsiTheme="minorHAnsi" w:cstheme="minorHAnsi"/>
        </w:rPr>
      </w:pPr>
      <w:r w:rsidRPr="00435BC3">
        <w:rPr>
          <w:rFonts w:asciiTheme="minorHAnsi" w:hAnsiTheme="minorHAnsi" w:cstheme="minorHAnsi"/>
        </w:rPr>
        <w:t>It is further submitted that in FY 202</w:t>
      </w:r>
      <w:r w:rsidR="00A94FF1" w:rsidRPr="00435BC3">
        <w:rPr>
          <w:rFonts w:asciiTheme="minorHAnsi" w:hAnsiTheme="minorHAnsi" w:cstheme="minorHAnsi"/>
        </w:rPr>
        <w:t>1-22</w:t>
      </w:r>
      <w:r w:rsidRPr="00435BC3">
        <w:rPr>
          <w:rFonts w:asciiTheme="minorHAnsi" w:hAnsiTheme="minorHAnsi" w:cstheme="minorHAnsi"/>
        </w:rPr>
        <w:t xml:space="preserve">, actual Hydel generation was </w:t>
      </w:r>
      <w:r w:rsidR="00A94FF1" w:rsidRPr="00435BC3">
        <w:rPr>
          <w:rFonts w:asciiTheme="minorHAnsi" w:hAnsiTheme="minorHAnsi" w:cstheme="minorHAnsi"/>
        </w:rPr>
        <w:t>80</w:t>
      </w:r>
      <w:r w:rsidRPr="00435BC3">
        <w:rPr>
          <w:rFonts w:asciiTheme="minorHAnsi" w:hAnsiTheme="minorHAnsi" w:cstheme="minorHAnsi"/>
        </w:rPr>
        <w:t xml:space="preserve">% higher than the energy dispatch as approved by the Hon’ble Commission which led to lower scheduling from other remaining optional plants (like CGS, TSGENCO etc). </w:t>
      </w:r>
    </w:p>
    <w:p w:rsidR="00A94FF1" w:rsidRPr="00435BC3" w:rsidRDefault="00A94FF1" w:rsidP="00A94FF1">
      <w:pPr>
        <w:pStyle w:val="ListParagraph"/>
        <w:numPr>
          <w:ilvl w:val="0"/>
          <w:numId w:val="10"/>
        </w:numPr>
        <w:jc w:val="both"/>
        <w:rPr>
          <w:rFonts w:asciiTheme="minorHAnsi" w:hAnsiTheme="minorHAnsi" w:cstheme="minorHAnsi"/>
        </w:rPr>
      </w:pPr>
      <w:r w:rsidRPr="00435BC3">
        <w:rPr>
          <w:rFonts w:asciiTheme="minorHAnsi" w:hAnsiTheme="minorHAnsi" w:cstheme="minorHAnsi"/>
        </w:rPr>
        <w:t xml:space="preserve">As we can see above, the dispatch did not match the </w:t>
      </w:r>
      <w:proofErr w:type="gramStart"/>
      <w:r w:rsidRPr="00435BC3">
        <w:rPr>
          <w:rFonts w:asciiTheme="minorHAnsi" w:hAnsiTheme="minorHAnsi" w:cstheme="minorHAnsi"/>
        </w:rPr>
        <w:t>requirement,</w:t>
      </w:r>
      <w:proofErr w:type="gramEnd"/>
      <w:r w:rsidRPr="00435BC3">
        <w:rPr>
          <w:rFonts w:asciiTheme="minorHAnsi" w:hAnsiTheme="minorHAnsi" w:cstheme="minorHAnsi"/>
        </w:rPr>
        <w:t xml:space="preserve"> TSDISCOMs had to depend purchase from short term market for the deficit of </w:t>
      </w:r>
      <w:r w:rsidR="00B71516" w:rsidRPr="00435BC3">
        <w:rPr>
          <w:rFonts w:asciiTheme="minorHAnsi" w:hAnsiTheme="minorHAnsi" w:cstheme="minorHAnsi"/>
        </w:rPr>
        <w:t>6784</w:t>
      </w:r>
      <w:r w:rsidRPr="00435BC3">
        <w:rPr>
          <w:rFonts w:asciiTheme="minorHAnsi" w:hAnsiTheme="minorHAnsi" w:cstheme="minorHAnsi"/>
        </w:rPr>
        <w:t xml:space="preserve"> MU.</w:t>
      </w:r>
    </w:p>
    <w:p w:rsidR="00E0697C" w:rsidRPr="00435BC3" w:rsidRDefault="00E0697C" w:rsidP="00742E2C">
      <w:pPr>
        <w:jc w:val="both"/>
        <w:rPr>
          <w:rFonts w:asciiTheme="minorHAnsi" w:hAnsiTheme="minorHAnsi" w:cstheme="minorHAnsi"/>
          <w:b/>
          <w:bCs/>
        </w:rPr>
      </w:pPr>
    </w:p>
    <w:p w:rsidR="00060FA4" w:rsidRPr="00435BC3" w:rsidRDefault="00C6185E" w:rsidP="00742E2C">
      <w:pPr>
        <w:jc w:val="both"/>
        <w:rPr>
          <w:rFonts w:asciiTheme="minorHAnsi" w:hAnsiTheme="minorHAnsi" w:cstheme="minorHAnsi"/>
          <w:b/>
          <w:bCs/>
          <w:u w:val="single"/>
        </w:rPr>
      </w:pPr>
      <w:r w:rsidRPr="00435BC3">
        <w:rPr>
          <w:rFonts w:asciiTheme="minorHAnsi" w:hAnsiTheme="minorHAnsi" w:cstheme="minorHAnsi"/>
          <w:b/>
          <w:bCs/>
          <w:u w:val="single"/>
        </w:rPr>
        <w:t>FY 2022-23</w:t>
      </w:r>
    </w:p>
    <w:p w:rsidR="007A4D43" w:rsidRPr="00435BC3" w:rsidRDefault="007A4D43" w:rsidP="00742E2C">
      <w:pPr>
        <w:jc w:val="both"/>
        <w:rPr>
          <w:rFonts w:asciiTheme="minorHAnsi" w:hAnsiTheme="minorHAnsi" w:cstheme="minorHAnsi"/>
          <w:b/>
          <w:bCs/>
        </w:rPr>
      </w:pPr>
    </w:p>
    <w:p w:rsidR="001F0D25" w:rsidRPr="00435BC3" w:rsidRDefault="001F0D25" w:rsidP="003478BF">
      <w:pPr>
        <w:pStyle w:val="Caption"/>
        <w:rPr>
          <w:rFonts w:asciiTheme="minorHAnsi" w:hAnsiTheme="minorHAnsi" w:cstheme="minorHAnsi"/>
        </w:rPr>
      </w:pPr>
      <w:r w:rsidRPr="00435BC3">
        <w:rPr>
          <w:rFonts w:asciiTheme="minorHAnsi" w:hAnsiTheme="minorHAnsi" w:cstheme="minorHAnsi"/>
        </w:rPr>
        <w:t xml:space="preserve">Table </w:t>
      </w:r>
      <w:r w:rsidR="00B52A87" w:rsidRPr="00435BC3">
        <w:rPr>
          <w:rFonts w:asciiTheme="minorHAnsi" w:hAnsiTheme="minorHAnsi" w:cstheme="minorHAnsi"/>
        </w:rPr>
        <w:fldChar w:fldCharType="begin"/>
      </w:r>
      <w:r w:rsidR="004608D8" w:rsidRPr="00435BC3">
        <w:rPr>
          <w:rFonts w:asciiTheme="minorHAnsi" w:hAnsiTheme="minorHAnsi" w:cstheme="minorHAnsi"/>
        </w:rPr>
        <w:instrText xml:space="preserve"> SEQ Table \* ARABIC </w:instrText>
      </w:r>
      <w:r w:rsidR="00B52A87" w:rsidRPr="00435BC3">
        <w:rPr>
          <w:rFonts w:asciiTheme="minorHAnsi" w:hAnsiTheme="minorHAnsi" w:cstheme="minorHAnsi"/>
        </w:rPr>
        <w:fldChar w:fldCharType="separate"/>
      </w:r>
      <w:r w:rsidR="00346E72">
        <w:rPr>
          <w:rFonts w:asciiTheme="minorHAnsi" w:hAnsiTheme="minorHAnsi" w:cstheme="minorHAnsi"/>
          <w:noProof/>
        </w:rPr>
        <w:t>4</w:t>
      </w:r>
      <w:r w:rsidR="00B52A87" w:rsidRPr="00435BC3">
        <w:rPr>
          <w:rFonts w:asciiTheme="minorHAnsi" w:hAnsiTheme="minorHAnsi" w:cstheme="minorHAnsi"/>
          <w:noProof/>
        </w:rPr>
        <w:fldChar w:fldCharType="end"/>
      </w:r>
      <w:r w:rsidRPr="00435BC3">
        <w:rPr>
          <w:rFonts w:asciiTheme="minorHAnsi" w:hAnsiTheme="minorHAnsi" w:cstheme="minorHAnsi"/>
        </w:rPr>
        <w:t xml:space="preserve"> Power Surplus/ Deficit Variance (MU) for FY 2022-23</w:t>
      </w:r>
    </w:p>
    <w:tbl>
      <w:tblPr>
        <w:tblW w:w="0" w:type="auto"/>
        <w:tblLook w:val="04A0"/>
      </w:tblPr>
      <w:tblGrid>
        <w:gridCol w:w="626"/>
        <w:gridCol w:w="4372"/>
        <w:gridCol w:w="1093"/>
        <w:gridCol w:w="1256"/>
        <w:gridCol w:w="1139"/>
        <w:gridCol w:w="1090"/>
      </w:tblGrid>
      <w:tr w:rsidR="00FB56AC" w:rsidRPr="004F43A0" w:rsidTr="00346E72">
        <w:trPr>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b/>
                <w:bCs/>
                <w:color w:val="000000"/>
                <w:szCs w:val="24"/>
              </w:rPr>
            </w:pPr>
            <w:r w:rsidRPr="004F43A0">
              <w:rPr>
                <w:rFonts w:eastAsia="Times New Roman" w:cs="Calibri"/>
                <w:b/>
                <w:bCs/>
                <w:color w:val="000000"/>
                <w:szCs w:val="24"/>
              </w:rPr>
              <w:t>S. No</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b/>
                <w:bCs/>
                <w:color w:val="000000"/>
                <w:szCs w:val="24"/>
              </w:rPr>
            </w:pPr>
            <w:r w:rsidRPr="004F43A0">
              <w:rPr>
                <w:rFonts w:eastAsia="Times New Roman" w:cs="Calibri"/>
                <w:b/>
                <w:bCs/>
                <w:color w:val="000000"/>
                <w:szCs w:val="24"/>
              </w:rPr>
              <w:t>Particulars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Filed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Approved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Actuals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Variance</w:t>
            </w:r>
          </w:p>
        </w:tc>
      </w:tr>
      <w:tr w:rsidR="00FB56AC" w:rsidRPr="004F43A0" w:rsidTr="00346E72">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56AC" w:rsidRPr="004F43A0" w:rsidRDefault="00FB56AC" w:rsidP="00346E72">
            <w:pPr>
              <w:spacing w:after="0" w:line="240" w:lineRule="auto"/>
              <w:rPr>
                <w:rFonts w:eastAsia="Times New Roman" w:cs="Calibri"/>
                <w:b/>
                <w:bCs/>
                <w:color w:val="000000"/>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56AC" w:rsidRPr="004F43A0" w:rsidRDefault="00FB56AC" w:rsidP="00346E72">
            <w:pPr>
              <w:spacing w:after="0" w:line="240" w:lineRule="auto"/>
              <w:rPr>
                <w:rFonts w:eastAsia="Times New Roman" w:cs="Calibri"/>
                <w:b/>
                <w:bCs/>
                <w:color w:val="000000"/>
                <w:szCs w:val="24"/>
              </w:rPr>
            </w:pP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FY 2022-23</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FY 2022-23</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FY 2022-23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56AC" w:rsidRPr="004F43A0" w:rsidRDefault="00FB56AC" w:rsidP="00346E72">
            <w:pPr>
              <w:spacing w:after="0" w:line="240" w:lineRule="auto"/>
              <w:rPr>
                <w:rFonts w:eastAsia="Times New Roman" w:cs="Calibri"/>
                <w:b/>
                <w:bCs/>
                <w:color w:val="000000"/>
                <w:szCs w:val="24"/>
              </w:rPr>
            </w:pPr>
          </w:p>
        </w:tc>
      </w:tr>
      <w:tr w:rsidR="00FB56AC" w:rsidRPr="004F43A0" w:rsidTr="00346E72">
        <w:trPr>
          <w:trHeight w:val="20"/>
          <w:tblHead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2</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3</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6 = 5-4</w:t>
            </w:r>
          </w:p>
        </w:tc>
      </w:tr>
      <w:tr w:rsidR="00FB56AC" w:rsidRPr="004F43A0" w:rsidTr="00346E72">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b/>
                <w:bCs/>
                <w:color w:val="000000"/>
                <w:szCs w:val="24"/>
              </w:rPr>
            </w:pPr>
            <w:r w:rsidRPr="004F43A0">
              <w:rPr>
                <w:rFonts w:eastAsia="Times New Roman" w:cs="Calibri"/>
                <w:b/>
                <w:bCs/>
                <w:color w:val="000000"/>
                <w:szCs w:val="24"/>
              </w:rPr>
              <w:t>Energy Availability</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1a</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TS GENCO</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31123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30626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29402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(1224)</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1b</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CGS</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19402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20089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15621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(4468)</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1c</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NCE</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8953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7699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8630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931 </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1d</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Others*</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21902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22748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14944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(7804)</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1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b/>
                <w:bCs/>
                <w:color w:val="000000"/>
                <w:szCs w:val="24"/>
              </w:rPr>
            </w:pPr>
            <w:r w:rsidRPr="004F43A0">
              <w:rPr>
                <w:rFonts w:eastAsia="Times New Roman" w:cs="Calibri"/>
                <w:b/>
                <w:bCs/>
                <w:color w:val="000000"/>
                <w:szCs w:val="24"/>
              </w:rPr>
              <w:t>Total Energy Availability</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81380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81162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68597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(12565)</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2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b/>
                <w:bCs/>
                <w:color w:val="000000"/>
                <w:szCs w:val="24"/>
              </w:rPr>
            </w:pPr>
            <w:r w:rsidRPr="004F43A0">
              <w:rPr>
                <w:rFonts w:eastAsia="Times New Roman" w:cs="Calibri"/>
                <w:b/>
                <w:bCs/>
                <w:color w:val="000000"/>
                <w:szCs w:val="24"/>
              </w:rPr>
              <w:t>Total Energy Requirement</w:t>
            </w:r>
            <w:r w:rsidRPr="00FB56AC">
              <w:rPr>
                <w:rFonts w:eastAsia="Times New Roman" w:cs="Calibri"/>
                <w:b/>
                <w:bCs/>
                <w:color w:val="000000"/>
                <w:szCs w:val="24"/>
                <w:vertAlign w:val="superscript"/>
              </w:rPr>
              <w:t>$</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84222</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78274</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73309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(4965)</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lastRenderedPageBreak/>
              <w:t xml:space="preserve">3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Surplus/ (deficit) before Market purchase</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(2842)</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2888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(4712)</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(7600)</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4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Short term Power Purchase</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2791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2172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9404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7232 </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5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Total Energy Availability from firm sources including market sources</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84171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83334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78001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(5333)</w:t>
            </w:r>
          </w:p>
        </w:tc>
      </w:tr>
      <w:tr w:rsidR="00FB56AC" w:rsidRPr="004F43A0"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b/>
                <w:bCs/>
                <w:color w:val="000000"/>
                <w:szCs w:val="24"/>
              </w:rPr>
            </w:pPr>
            <w:r w:rsidRPr="004F43A0">
              <w:rPr>
                <w:rFonts w:eastAsia="Times New Roman" w:cs="Calibri"/>
                <w:b/>
                <w:bCs/>
                <w:color w:val="000000"/>
                <w:szCs w:val="24"/>
              </w:rPr>
              <w:t xml:space="preserve">6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rPr>
                <w:rFonts w:eastAsia="Times New Roman" w:cs="Calibri"/>
                <w:color w:val="000000"/>
                <w:szCs w:val="24"/>
              </w:rPr>
            </w:pPr>
            <w:r w:rsidRPr="004F43A0">
              <w:rPr>
                <w:rFonts w:eastAsia="Times New Roman" w:cs="Calibri"/>
                <w:color w:val="000000"/>
                <w:szCs w:val="24"/>
              </w:rPr>
              <w:t>Surplus/ (deficit) including Market purchase</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(51)</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5060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 xml:space="preserve">4692 </w:t>
            </w:r>
          </w:p>
        </w:tc>
        <w:tc>
          <w:tcPr>
            <w:tcW w:w="0" w:type="auto"/>
            <w:tcBorders>
              <w:top w:val="nil"/>
              <w:left w:val="nil"/>
              <w:bottom w:val="single" w:sz="4" w:space="0" w:color="auto"/>
              <w:right w:val="single" w:sz="4" w:space="0" w:color="auto"/>
            </w:tcBorders>
            <w:shd w:val="clear" w:color="auto" w:fill="auto"/>
            <w:vAlign w:val="center"/>
            <w:hideMark/>
          </w:tcPr>
          <w:p w:rsidR="00FB56AC" w:rsidRPr="004F43A0" w:rsidRDefault="00FB56AC" w:rsidP="00346E72">
            <w:pPr>
              <w:spacing w:after="0" w:line="240" w:lineRule="auto"/>
              <w:jc w:val="center"/>
              <w:rPr>
                <w:rFonts w:eastAsia="Times New Roman" w:cs="Calibri"/>
                <w:color w:val="000000"/>
                <w:szCs w:val="24"/>
              </w:rPr>
            </w:pPr>
            <w:r w:rsidRPr="004F43A0">
              <w:rPr>
                <w:rFonts w:eastAsia="Times New Roman" w:cs="Calibri"/>
                <w:color w:val="000000"/>
                <w:szCs w:val="24"/>
              </w:rPr>
              <w:t>(368)</w:t>
            </w:r>
          </w:p>
        </w:tc>
      </w:tr>
    </w:tbl>
    <w:p w:rsidR="00DD5EB8" w:rsidRPr="00435BC3" w:rsidRDefault="00DD5EB8" w:rsidP="00DD5EB8">
      <w:pPr>
        <w:spacing w:after="0"/>
        <w:jc w:val="both"/>
        <w:rPr>
          <w:rFonts w:asciiTheme="minorHAnsi" w:hAnsiTheme="minorHAnsi" w:cstheme="minorHAnsi"/>
          <w:sz w:val="22"/>
          <w:szCs w:val="20"/>
        </w:rPr>
      </w:pPr>
      <w:r w:rsidRPr="00435BC3">
        <w:rPr>
          <w:rFonts w:asciiTheme="minorHAnsi" w:hAnsiTheme="minorHAnsi" w:cstheme="minorHAnsi"/>
          <w:sz w:val="22"/>
          <w:szCs w:val="20"/>
        </w:rPr>
        <w:t xml:space="preserve">* SEIL, CSPDCL, </w:t>
      </w:r>
      <w:proofErr w:type="spellStart"/>
      <w:r w:rsidRPr="00435BC3">
        <w:rPr>
          <w:rFonts w:asciiTheme="minorHAnsi" w:hAnsiTheme="minorHAnsi" w:cstheme="minorHAnsi"/>
          <w:sz w:val="22"/>
          <w:szCs w:val="20"/>
        </w:rPr>
        <w:t>Singareni</w:t>
      </w:r>
      <w:proofErr w:type="spellEnd"/>
      <w:r w:rsidRPr="00435BC3">
        <w:rPr>
          <w:rFonts w:asciiTheme="minorHAnsi" w:hAnsiTheme="minorHAnsi" w:cstheme="minorHAnsi"/>
          <w:sz w:val="22"/>
          <w:szCs w:val="20"/>
        </w:rPr>
        <w:t>, PTC India</w:t>
      </w:r>
    </w:p>
    <w:p w:rsidR="00DD5EB8" w:rsidRPr="00435BC3" w:rsidRDefault="00DD5EB8" w:rsidP="00DD5EB8">
      <w:pPr>
        <w:spacing w:after="0"/>
        <w:jc w:val="both"/>
        <w:rPr>
          <w:rFonts w:asciiTheme="minorHAnsi" w:hAnsiTheme="minorHAnsi" w:cstheme="minorHAnsi"/>
          <w:sz w:val="22"/>
          <w:szCs w:val="20"/>
        </w:rPr>
      </w:pPr>
      <w:r w:rsidRPr="00435BC3">
        <w:rPr>
          <w:rFonts w:asciiTheme="minorHAnsi" w:hAnsiTheme="minorHAnsi" w:cstheme="minorHAnsi"/>
          <w:sz w:val="22"/>
          <w:szCs w:val="20"/>
        </w:rPr>
        <w:t>$ Requirement calculated by using approved losses</w:t>
      </w:r>
    </w:p>
    <w:p w:rsidR="00DD5EB8" w:rsidRPr="00435BC3" w:rsidRDefault="00DD5EB8" w:rsidP="00DD5EB8">
      <w:pPr>
        <w:pStyle w:val="ListParagraph"/>
        <w:jc w:val="both"/>
        <w:rPr>
          <w:rFonts w:asciiTheme="minorHAnsi" w:hAnsiTheme="minorHAnsi" w:cstheme="minorHAnsi"/>
        </w:rPr>
      </w:pPr>
    </w:p>
    <w:p w:rsidR="005E627B" w:rsidRPr="00435BC3" w:rsidRDefault="005E627B" w:rsidP="005E627B">
      <w:pPr>
        <w:pStyle w:val="ListParagraph"/>
        <w:numPr>
          <w:ilvl w:val="0"/>
          <w:numId w:val="10"/>
        </w:numPr>
        <w:jc w:val="both"/>
        <w:rPr>
          <w:rFonts w:asciiTheme="minorHAnsi" w:hAnsiTheme="minorHAnsi" w:cstheme="minorHAnsi"/>
        </w:rPr>
      </w:pPr>
      <w:r w:rsidRPr="00435BC3">
        <w:rPr>
          <w:rFonts w:asciiTheme="minorHAnsi" w:hAnsiTheme="minorHAnsi" w:cstheme="minorHAnsi"/>
        </w:rPr>
        <w:t xml:space="preserve">In </w:t>
      </w:r>
      <w:r w:rsidR="00D92F19" w:rsidRPr="00435BC3">
        <w:rPr>
          <w:rFonts w:asciiTheme="minorHAnsi" w:hAnsiTheme="minorHAnsi" w:cstheme="minorHAnsi"/>
        </w:rPr>
        <w:t xml:space="preserve">TSGENCO, several plants like KTPS VII, </w:t>
      </w:r>
      <w:r w:rsidR="003353E8" w:rsidRPr="00435BC3">
        <w:rPr>
          <w:rFonts w:asciiTheme="minorHAnsi" w:hAnsiTheme="minorHAnsi" w:cstheme="minorHAnsi"/>
        </w:rPr>
        <w:t xml:space="preserve">KTPS II, </w:t>
      </w:r>
      <w:r w:rsidR="008A7A94" w:rsidRPr="00435BC3">
        <w:rPr>
          <w:rFonts w:asciiTheme="minorHAnsi" w:hAnsiTheme="minorHAnsi" w:cstheme="minorHAnsi"/>
        </w:rPr>
        <w:t xml:space="preserve">BTPS </w:t>
      </w:r>
      <w:r w:rsidR="006D70E5" w:rsidRPr="00435BC3">
        <w:rPr>
          <w:rFonts w:asciiTheme="minorHAnsi" w:hAnsiTheme="minorHAnsi" w:cstheme="minorHAnsi"/>
        </w:rPr>
        <w:t>showed high variance when compared to the projected availability</w:t>
      </w:r>
      <w:r w:rsidR="00DA51CE" w:rsidRPr="00435BC3">
        <w:rPr>
          <w:rFonts w:asciiTheme="minorHAnsi" w:hAnsiTheme="minorHAnsi" w:cstheme="minorHAnsi"/>
        </w:rPr>
        <w:t>.</w:t>
      </w:r>
    </w:p>
    <w:p w:rsidR="00DA51CE" w:rsidRPr="00435BC3" w:rsidRDefault="002172C4" w:rsidP="005E627B">
      <w:pPr>
        <w:pStyle w:val="ListParagraph"/>
        <w:numPr>
          <w:ilvl w:val="0"/>
          <w:numId w:val="10"/>
        </w:numPr>
        <w:jc w:val="both"/>
        <w:rPr>
          <w:rFonts w:asciiTheme="minorHAnsi" w:hAnsiTheme="minorHAnsi" w:cstheme="minorHAnsi"/>
        </w:rPr>
      </w:pPr>
      <w:r w:rsidRPr="00435BC3">
        <w:rPr>
          <w:rFonts w:asciiTheme="minorHAnsi" w:hAnsiTheme="minorHAnsi" w:cstheme="minorHAnsi"/>
        </w:rPr>
        <w:t>Scheduling from s</w:t>
      </w:r>
      <w:r w:rsidR="00530125" w:rsidRPr="00435BC3">
        <w:rPr>
          <w:rFonts w:asciiTheme="minorHAnsi" w:hAnsiTheme="minorHAnsi" w:cstheme="minorHAnsi"/>
        </w:rPr>
        <w:t xml:space="preserve">everal </w:t>
      </w:r>
      <w:r w:rsidRPr="00435BC3">
        <w:rPr>
          <w:rFonts w:asciiTheme="minorHAnsi" w:hAnsiTheme="minorHAnsi" w:cstheme="minorHAnsi"/>
        </w:rPr>
        <w:t>CGS</w:t>
      </w:r>
      <w:r w:rsidR="00530125" w:rsidRPr="00435BC3">
        <w:rPr>
          <w:rFonts w:asciiTheme="minorHAnsi" w:hAnsiTheme="minorHAnsi" w:cstheme="minorHAnsi"/>
        </w:rPr>
        <w:t xml:space="preserve"> plants like NTPC </w:t>
      </w:r>
      <w:proofErr w:type="spellStart"/>
      <w:r w:rsidR="00530125" w:rsidRPr="00435BC3">
        <w:rPr>
          <w:rFonts w:asciiTheme="minorHAnsi" w:hAnsiTheme="minorHAnsi" w:cstheme="minorHAnsi"/>
        </w:rPr>
        <w:t>Ramagundam</w:t>
      </w:r>
      <w:proofErr w:type="spellEnd"/>
      <w:r w:rsidR="00530125" w:rsidRPr="00435BC3">
        <w:rPr>
          <w:rFonts w:asciiTheme="minorHAnsi" w:hAnsiTheme="minorHAnsi" w:cstheme="minorHAnsi"/>
        </w:rPr>
        <w:t xml:space="preserve"> I, II &amp; III</w:t>
      </w:r>
      <w:r w:rsidR="0025515E" w:rsidRPr="00435BC3">
        <w:rPr>
          <w:rFonts w:asciiTheme="minorHAnsi" w:hAnsiTheme="minorHAnsi" w:cstheme="minorHAnsi"/>
        </w:rPr>
        <w:t xml:space="preserve">, NLC TPS </w:t>
      </w:r>
      <w:r w:rsidRPr="00435BC3">
        <w:rPr>
          <w:rFonts w:asciiTheme="minorHAnsi" w:hAnsiTheme="minorHAnsi" w:cstheme="minorHAnsi"/>
        </w:rPr>
        <w:t xml:space="preserve">II was significantly </w:t>
      </w:r>
      <w:r w:rsidR="00A94FF1" w:rsidRPr="00435BC3">
        <w:rPr>
          <w:rFonts w:asciiTheme="minorHAnsi" w:hAnsiTheme="minorHAnsi" w:cstheme="minorHAnsi"/>
        </w:rPr>
        <w:t>lower</w:t>
      </w:r>
      <w:r w:rsidRPr="00435BC3">
        <w:rPr>
          <w:rFonts w:asciiTheme="minorHAnsi" w:hAnsiTheme="minorHAnsi" w:cstheme="minorHAnsi"/>
        </w:rPr>
        <w:t>.</w:t>
      </w:r>
      <w:r w:rsidR="00A94FF1" w:rsidRPr="00435BC3">
        <w:rPr>
          <w:rFonts w:asciiTheme="minorHAnsi" w:hAnsiTheme="minorHAnsi" w:cstheme="minorHAnsi"/>
        </w:rPr>
        <w:t xml:space="preserve"> </w:t>
      </w:r>
    </w:p>
    <w:p w:rsidR="00EE62B3" w:rsidRPr="00435BC3" w:rsidRDefault="00D74F49" w:rsidP="003651ED">
      <w:pPr>
        <w:pStyle w:val="ListParagraph"/>
        <w:numPr>
          <w:ilvl w:val="0"/>
          <w:numId w:val="10"/>
        </w:numPr>
        <w:jc w:val="both"/>
        <w:rPr>
          <w:rFonts w:asciiTheme="minorHAnsi" w:hAnsiTheme="minorHAnsi" w:cstheme="minorHAnsi"/>
        </w:rPr>
      </w:pPr>
      <w:r w:rsidRPr="00435BC3">
        <w:rPr>
          <w:rFonts w:asciiTheme="minorHAnsi" w:hAnsiTheme="minorHAnsi" w:cstheme="minorHAnsi"/>
        </w:rPr>
        <w:t>At the time of filing of FY 2022-23, the expected COD of Telangana STPP (Phase I) Unit I &amp; Unit II was October 2022 and January 2023 respectively. However, the COD of TSTPP was delayed resulting in zero scheduling of its power.</w:t>
      </w:r>
    </w:p>
    <w:p w:rsidR="003651ED" w:rsidRPr="00435BC3" w:rsidRDefault="003651ED" w:rsidP="00205FFD">
      <w:pPr>
        <w:pStyle w:val="ListParagraph"/>
        <w:numPr>
          <w:ilvl w:val="0"/>
          <w:numId w:val="10"/>
        </w:numPr>
        <w:jc w:val="both"/>
        <w:rPr>
          <w:rFonts w:asciiTheme="minorHAnsi" w:hAnsiTheme="minorHAnsi" w:cstheme="minorHAnsi"/>
        </w:rPr>
      </w:pPr>
      <w:r w:rsidRPr="00435BC3">
        <w:rPr>
          <w:rFonts w:asciiTheme="minorHAnsi" w:hAnsiTheme="minorHAnsi" w:cstheme="minorHAnsi"/>
        </w:rPr>
        <w:t>CSPDCL</w:t>
      </w:r>
      <w:r w:rsidR="00AF1E0E" w:rsidRPr="00435BC3">
        <w:rPr>
          <w:rFonts w:asciiTheme="minorHAnsi" w:hAnsiTheme="minorHAnsi" w:cstheme="minorHAnsi"/>
        </w:rPr>
        <w:t xml:space="preserve"> </w:t>
      </w:r>
      <w:r w:rsidRPr="00435BC3">
        <w:rPr>
          <w:rFonts w:asciiTheme="minorHAnsi" w:hAnsiTheme="minorHAnsi" w:cstheme="minorHAnsi"/>
        </w:rPr>
        <w:t>schedul</w:t>
      </w:r>
      <w:r w:rsidR="00AF1E0E" w:rsidRPr="00435BC3">
        <w:rPr>
          <w:rFonts w:asciiTheme="minorHAnsi" w:hAnsiTheme="minorHAnsi" w:cstheme="minorHAnsi"/>
        </w:rPr>
        <w:t xml:space="preserve">ed zero power as against projected availability of </w:t>
      </w:r>
      <w:r w:rsidRPr="00435BC3">
        <w:rPr>
          <w:rFonts w:asciiTheme="minorHAnsi" w:hAnsiTheme="minorHAnsi" w:cstheme="minorHAnsi"/>
        </w:rPr>
        <w:t>6</w:t>
      </w:r>
      <w:r w:rsidR="00C52A82" w:rsidRPr="00435BC3">
        <w:rPr>
          <w:rFonts w:asciiTheme="minorHAnsi" w:hAnsiTheme="minorHAnsi" w:cstheme="minorHAnsi"/>
        </w:rPr>
        <w:t>350</w:t>
      </w:r>
      <w:r w:rsidRPr="00435BC3">
        <w:rPr>
          <w:rFonts w:asciiTheme="minorHAnsi" w:hAnsiTheme="minorHAnsi" w:cstheme="minorHAnsi"/>
        </w:rPr>
        <w:t xml:space="preserve"> MU</w:t>
      </w:r>
      <w:r w:rsidR="00AF1E0E" w:rsidRPr="00435BC3">
        <w:rPr>
          <w:rFonts w:asciiTheme="minorHAnsi" w:hAnsiTheme="minorHAnsi" w:cstheme="minorHAnsi"/>
        </w:rPr>
        <w:t xml:space="preserve"> at the time of filing</w:t>
      </w:r>
      <w:r w:rsidRPr="00435BC3">
        <w:rPr>
          <w:rFonts w:asciiTheme="minorHAnsi" w:hAnsiTheme="minorHAnsi" w:cstheme="minorHAnsi"/>
        </w:rPr>
        <w:t xml:space="preserve">. </w:t>
      </w:r>
      <w:r w:rsidR="00AF1E0E" w:rsidRPr="00435BC3">
        <w:rPr>
          <w:rFonts w:asciiTheme="minorHAnsi" w:hAnsiTheme="minorHAnsi" w:cstheme="minorHAnsi"/>
        </w:rPr>
        <w:t xml:space="preserve">The dispute over the outstanding amount remained unresolved </w:t>
      </w:r>
      <w:r w:rsidR="00205FFD" w:rsidRPr="00435BC3">
        <w:rPr>
          <w:rFonts w:asciiTheme="minorHAnsi" w:hAnsiTheme="minorHAnsi" w:cstheme="minorHAnsi"/>
        </w:rPr>
        <w:t>considering which CSPDCL scheduled zero power in FY 2022-23. It is further submitted entire undisputed outstanding amount along with surcharge was covered by TSDISCOMs under the LPS- Rules 2022 however, CSPDCL is still Scheduling Zero energy to TSDISCOMs.  </w:t>
      </w:r>
    </w:p>
    <w:p w:rsidR="00A94FF1" w:rsidRPr="00435BC3" w:rsidRDefault="00A94FF1" w:rsidP="00A94FF1">
      <w:pPr>
        <w:pStyle w:val="ListParagraph"/>
        <w:numPr>
          <w:ilvl w:val="0"/>
          <w:numId w:val="10"/>
        </w:numPr>
        <w:jc w:val="both"/>
        <w:rPr>
          <w:rFonts w:asciiTheme="minorHAnsi" w:hAnsiTheme="minorHAnsi" w:cstheme="minorHAnsi"/>
        </w:rPr>
      </w:pPr>
      <w:r w:rsidRPr="00435BC3">
        <w:rPr>
          <w:rFonts w:asciiTheme="minorHAnsi" w:hAnsiTheme="minorHAnsi" w:cstheme="minorHAnsi"/>
        </w:rPr>
        <w:t xml:space="preserve">It is further submitted that in H1 of FY 2022-23, actual Hydel generation was 46% higher than the energy dispatch as approved by the Hon’ble Commission which led to lower scheduling from other remaining optional plants (like CGS, TSGENCO etc). </w:t>
      </w:r>
    </w:p>
    <w:p w:rsidR="006868C2" w:rsidRPr="00435BC3" w:rsidRDefault="00BF1372" w:rsidP="006868C2">
      <w:pPr>
        <w:pStyle w:val="ListParagraph"/>
        <w:numPr>
          <w:ilvl w:val="0"/>
          <w:numId w:val="10"/>
        </w:numPr>
        <w:jc w:val="both"/>
        <w:rPr>
          <w:rFonts w:asciiTheme="minorHAnsi" w:hAnsiTheme="minorHAnsi" w:cstheme="minorHAnsi"/>
        </w:rPr>
      </w:pPr>
      <w:r w:rsidRPr="00435BC3">
        <w:rPr>
          <w:rFonts w:asciiTheme="minorHAnsi" w:hAnsiTheme="minorHAnsi" w:cstheme="minorHAnsi"/>
        </w:rPr>
        <w:t xml:space="preserve">It is pertinent to mention that the State of Telangana has started supplying 24*7 power to agriculture sector from </w:t>
      </w:r>
      <w:r w:rsidR="00D74F49" w:rsidRPr="00435BC3">
        <w:rPr>
          <w:rFonts w:asciiTheme="minorHAnsi" w:hAnsiTheme="minorHAnsi" w:cstheme="minorHAnsi"/>
        </w:rPr>
        <w:t>01.01.2018</w:t>
      </w:r>
      <w:r w:rsidRPr="00435BC3">
        <w:rPr>
          <w:rFonts w:asciiTheme="minorHAnsi" w:hAnsiTheme="minorHAnsi" w:cstheme="minorHAnsi"/>
        </w:rPr>
        <w:t xml:space="preserve">. This has increased the power purchase requirement of FY 2022-23. The licensee after exhausting </w:t>
      </w:r>
      <w:r w:rsidR="00D74F49" w:rsidRPr="00435BC3">
        <w:rPr>
          <w:rFonts w:asciiTheme="minorHAnsi" w:hAnsiTheme="minorHAnsi" w:cstheme="minorHAnsi"/>
        </w:rPr>
        <w:t xml:space="preserve">all their </w:t>
      </w:r>
      <w:proofErr w:type="gramStart"/>
      <w:r w:rsidR="00D74F49" w:rsidRPr="00435BC3">
        <w:rPr>
          <w:rFonts w:asciiTheme="minorHAnsi" w:hAnsiTheme="minorHAnsi" w:cstheme="minorHAnsi"/>
        </w:rPr>
        <w:t xml:space="preserve">sources </w:t>
      </w:r>
      <w:r w:rsidR="006868C2" w:rsidRPr="00435BC3">
        <w:rPr>
          <w:rFonts w:asciiTheme="minorHAnsi" w:hAnsiTheme="minorHAnsi" w:cstheme="minorHAnsi"/>
        </w:rPr>
        <w:t xml:space="preserve"> considered</w:t>
      </w:r>
      <w:proofErr w:type="gramEnd"/>
      <w:r w:rsidR="006868C2" w:rsidRPr="00435BC3">
        <w:rPr>
          <w:rFonts w:asciiTheme="minorHAnsi" w:hAnsiTheme="minorHAnsi" w:cstheme="minorHAnsi"/>
        </w:rPr>
        <w:t xml:space="preserve"> quantum of 9404 MU power purchase from Short term sources.</w:t>
      </w:r>
    </w:p>
    <w:p w:rsidR="00916E00" w:rsidRPr="00435BC3" w:rsidRDefault="00916E00" w:rsidP="00916E00">
      <w:pPr>
        <w:jc w:val="both"/>
        <w:rPr>
          <w:rFonts w:asciiTheme="minorHAnsi" w:hAnsiTheme="minorHAnsi" w:cstheme="minorHAnsi"/>
          <w:b/>
          <w:bCs/>
          <w:u w:val="single"/>
        </w:rPr>
      </w:pPr>
      <w:r w:rsidRPr="00435BC3">
        <w:rPr>
          <w:rFonts w:asciiTheme="minorHAnsi" w:hAnsiTheme="minorHAnsi" w:cstheme="minorHAnsi"/>
          <w:b/>
          <w:bCs/>
          <w:u w:val="single"/>
        </w:rPr>
        <w:t>FY 2023-24</w:t>
      </w:r>
    </w:p>
    <w:p w:rsidR="001F0D25" w:rsidRPr="00435BC3" w:rsidRDefault="001F0D25" w:rsidP="003478BF">
      <w:pPr>
        <w:pStyle w:val="Caption"/>
        <w:rPr>
          <w:rFonts w:asciiTheme="minorHAnsi" w:hAnsiTheme="minorHAnsi" w:cstheme="minorHAnsi"/>
        </w:rPr>
      </w:pPr>
      <w:r w:rsidRPr="00435BC3">
        <w:rPr>
          <w:rFonts w:asciiTheme="minorHAnsi" w:hAnsiTheme="minorHAnsi" w:cstheme="minorHAnsi"/>
        </w:rPr>
        <w:t xml:space="preserve">Table </w:t>
      </w:r>
      <w:r w:rsidR="00B52A87" w:rsidRPr="00435BC3">
        <w:rPr>
          <w:rFonts w:asciiTheme="minorHAnsi" w:hAnsiTheme="minorHAnsi" w:cstheme="minorHAnsi"/>
        </w:rPr>
        <w:fldChar w:fldCharType="begin"/>
      </w:r>
      <w:r w:rsidR="004608D8" w:rsidRPr="00435BC3">
        <w:rPr>
          <w:rFonts w:asciiTheme="minorHAnsi" w:hAnsiTheme="minorHAnsi" w:cstheme="minorHAnsi"/>
        </w:rPr>
        <w:instrText xml:space="preserve"> SEQ Table \* ARABIC </w:instrText>
      </w:r>
      <w:r w:rsidR="00B52A87" w:rsidRPr="00435BC3">
        <w:rPr>
          <w:rFonts w:asciiTheme="minorHAnsi" w:hAnsiTheme="minorHAnsi" w:cstheme="minorHAnsi"/>
        </w:rPr>
        <w:fldChar w:fldCharType="separate"/>
      </w:r>
      <w:r w:rsidR="00346E72">
        <w:rPr>
          <w:rFonts w:asciiTheme="minorHAnsi" w:hAnsiTheme="minorHAnsi" w:cstheme="minorHAnsi"/>
          <w:noProof/>
        </w:rPr>
        <w:t>5</w:t>
      </w:r>
      <w:r w:rsidR="00B52A87" w:rsidRPr="00435BC3">
        <w:rPr>
          <w:rFonts w:asciiTheme="minorHAnsi" w:hAnsiTheme="minorHAnsi" w:cstheme="minorHAnsi"/>
          <w:noProof/>
        </w:rPr>
        <w:fldChar w:fldCharType="end"/>
      </w:r>
      <w:r w:rsidRPr="00435BC3">
        <w:rPr>
          <w:rFonts w:asciiTheme="minorHAnsi" w:hAnsiTheme="minorHAnsi" w:cstheme="minorHAnsi"/>
        </w:rPr>
        <w:t xml:space="preserve"> Power Surplus/ Deficit Variance (MU) for </w:t>
      </w:r>
      <w:r w:rsidR="00230A45" w:rsidRPr="00435BC3">
        <w:rPr>
          <w:rFonts w:asciiTheme="minorHAnsi" w:hAnsiTheme="minorHAnsi" w:cstheme="minorHAnsi"/>
        </w:rPr>
        <w:t xml:space="preserve">Q1 of </w:t>
      </w:r>
      <w:r w:rsidRPr="00435BC3">
        <w:rPr>
          <w:rFonts w:asciiTheme="minorHAnsi" w:hAnsiTheme="minorHAnsi" w:cstheme="minorHAnsi"/>
        </w:rPr>
        <w:t xml:space="preserve">FY 2023-24 </w:t>
      </w:r>
    </w:p>
    <w:tbl>
      <w:tblPr>
        <w:tblW w:w="0" w:type="auto"/>
        <w:tblLook w:val="04A0"/>
      </w:tblPr>
      <w:tblGrid>
        <w:gridCol w:w="604"/>
        <w:gridCol w:w="3863"/>
        <w:gridCol w:w="1246"/>
        <w:gridCol w:w="1457"/>
        <w:gridCol w:w="1316"/>
        <w:gridCol w:w="1090"/>
      </w:tblGrid>
      <w:tr w:rsidR="00FB56AC" w:rsidRPr="00435BC3" w:rsidTr="00346E72">
        <w:trPr>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S. No</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Particulars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Filed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Approved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Actuals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Variance</w:t>
            </w:r>
          </w:p>
        </w:tc>
      </w:tr>
      <w:tr w:rsidR="00FB56AC" w:rsidRPr="00435BC3" w:rsidTr="00346E72">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56AC" w:rsidRPr="00435BC3" w:rsidRDefault="00FB56AC" w:rsidP="00346E72">
            <w:pPr>
              <w:spacing w:after="0" w:line="240" w:lineRule="auto"/>
              <w:rPr>
                <w:rFonts w:asciiTheme="minorHAnsi" w:eastAsia="Times New Roman" w:hAnsiTheme="minorHAnsi" w:cstheme="minorHAnsi"/>
                <w:b/>
                <w:bCs/>
                <w:color w:val="000000"/>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56AC" w:rsidRPr="00435BC3" w:rsidRDefault="00FB56AC" w:rsidP="00346E72">
            <w:pPr>
              <w:spacing w:after="0" w:line="240" w:lineRule="auto"/>
              <w:rPr>
                <w:rFonts w:asciiTheme="minorHAnsi" w:eastAsia="Times New Roman" w:hAnsiTheme="minorHAnsi" w:cstheme="minorHAnsi"/>
                <w:b/>
                <w:bCs/>
                <w:color w:val="000000"/>
                <w:szCs w:val="24"/>
              </w:rPr>
            </w:pP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FY 2023-24 (Q1)</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FY 2023-24 (Q1)</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FY 2023-24 (Q1)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56AC" w:rsidRPr="00435BC3" w:rsidRDefault="00FB56AC" w:rsidP="00346E72">
            <w:pPr>
              <w:spacing w:after="0" w:line="240" w:lineRule="auto"/>
              <w:rPr>
                <w:rFonts w:asciiTheme="minorHAnsi" w:eastAsia="Times New Roman" w:hAnsiTheme="minorHAnsi" w:cstheme="minorHAnsi"/>
                <w:b/>
                <w:bCs/>
                <w:color w:val="000000"/>
                <w:szCs w:val="24"/>
              </w:rPr>
            </w:pPr>
          </w:p>
        </w:tc>
      </w:tr>
      <w:tr w:rsidR="00FB56AC" w:rsidRPr="00435BC3" w:rsidTr="00346E72">
        <w:trPr>
          <w:trHeight w:val="20"/>
          <w:tblHead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2</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3</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6 = 5-4</w:t>
            </w:r>
          </w:p>
        </w:tc>
      </w:tr>
      <w:tr w:rsidR="00FB56AC" w:rsidRPr="00435BC3" w:rsidTr="00346E72">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Energy Availability</w:t>
            </w:r>
          </w:p>
        </w:tc>
      </w:tr>
      <w:tr w:rsidR="00FB56AC" w:rsidRPr="00435BC3"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1a</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TS GENCO</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6889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6741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6942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201 </w:t>
            </w:r>
          </w:p>
        </w:tc>
      </w:tr>
      <w:tr w:rsidR="00FB56AC" w:rsidRPr="00435BC3"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lastRenderedPageBreak/>
              <w:t>1b</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CGS</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5170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4445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3365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(1080)</w:t>
            </w:r>
          </w:p>
        </w:tc>
      </w:tr>
      <w:tr w:rsidR="00FB56AC" w:rsidRPr="00435BC3"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1c</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NCE</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2903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2887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2829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(58)</w:t>
            </w:r>
          </w:p>
        </w:tc>
      </w:tr>
      <w:tr w:rsidR="00FB56AC" w:rsidRPr="00435BC3"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1d</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Others*</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3939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5888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3590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(2298)</w:t>
            </w:r>
          </w:p>
        </w:tc>
      </w:tr>
      <w:tr w:rsidR="00FB56AC" w:rsidRPr="00435BC3"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1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Total Energy Availability</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18901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19961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16726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(3236)</w:t>
            </w:r>
          </w:p>
        </w:tc>
      </w:tr>
      <w:tr w:rsidR="00FB56AC" w:rsidRPr="00435BC3"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2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Total Energy Requirement</w:t>
            </w:r>
            <w:r w:rsidRPr="00435BC3">
              <w:rPr>
                <w:rFonts w:asciiTheme="minorHAnsi" w:eastAsia="Times New Roman" w:hAnsiTheme="minorHAnsi" w:cstheme="minorHAnsi"/>
                <w:b/>
                <w:bCs/>
                <w:color w:val="000000"/>
                <w:szCs w:val="24"/>
                <w:vertAlign w:val="superscript"/>
              </w:rPr>
              <w:t>$</w:t>
            </w:r>
            <w:r w:rsidRPr="00435BC3">
              <w:rPr>
                <w:rFonts w:asciiTheme="minorHAnsi" w:eastAsia="Times New Roman" w:hAnsiTheme="minorHAnsi" w:cstheme="minorHAnsi"/>
                <w:b/>
                <w:bCs/>
                <w:color w:val="000000"/>
                <w:szCs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19035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20271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18527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(1744)</w:t>
            </w:r>
          </w:p>
        </w:tc>
      </w:tr>
      <w:tr w:rsidR="00FB56AC" w:rsidRPr="00435BC3"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3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Surplus/ (deficit) before Market purchase</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(134)</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(310)</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(1802)</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(1492)</w:t>
            </w:r>
          </w:p>
        </w:tc>
      </w:tr>
      <w:tr w:rsidR="00FB56AC" w:rsidRPr="00435BC3"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4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Short term Power Purchase</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134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887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2210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1323 </w:t>
            </w:r>
          </w:p>
        </w:tc>
      </w:tr>
      <w:tr w:rsidR="00FB56AC" w:rsidRPr="00435BC3"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5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Total Energy Availability from firm sources including market sources</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19035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20848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18935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(1913)</w:t>
            </w:r>
          </w:p>
        </w:tc>
      </w:tr>
      <w:tr w:rsidR="00FB56AC" w:rsidRPr="00435BC3" w:rsidTr="00346E72">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6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Surplus/ (deficit) including Market purchase</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0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 xml:space="preserve">577 </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408</w:t>
            </w:r>
          </w:p>
        </w:tc>
        <w:tc>
          <w:tcPr>
            <w:tcW w:w="0" w:type="auto"/>
            <w:tcBorders>
              <w:top w:val="nil"/>
              <w:left w:val="nil"/>
              <w:bottom w:val="single" w:sz="4" w:space="0" w:color="auto"/>
              <w:right w:val="single" w:sz="4" w:space="0" w:color="auto"/>
            </w:tcBorders>
            <w:shd w:val="clear" w:color="auto" w:fill="auto"/>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(169)</w:t>
            </w:r>
          </w:p>
        </w:tc>
      </w:tr>
    </w:tbl>
    <w:p w:rsidR="00DD5EB8" w:rsidRPr="00435BC3" w:rsidRDefault="00DD5EB8" w:rsidP="00DD5EB8">
      <w:pPr>
        <w:spacing w:after="0"/>
        <w:jc w:val="both"/>
        <w:rPr>
          <w:rFonts w:asciiTheme="minorHAnsi" w:hAnsiTheme="minorHAnsi" w:cstheme="minorHAnsi"/>
          <w:sz w:val="22"/>
          <w:szCs w:val="20"/>
        </w:rPr>
      </w:pPr>
      <w:r w:rsidRPr="00435BC3">
        <w:rPr>
          <w:rFonts w:asciiTheme="minorHAnsi" w:hAnsiTheme="minorHAnsi" w:cstheme="minorHAnsi"/>
          <w:sz w:val="22"/>
          <w:szCs w:val="20"/>
        </w:rPr>
        <w:t xml:space="preserve">* SEIL, CSPDCL, </w:t>
      </w:r>
      <w:proofErr w:type="spellStart"/>
      <w:r w:rsidRPr="00435BC3">
        <w:rPr>
          <w:rFonts w:asciiTheme="minorHAnsi" w:hAnsiTheme="minorHAnsi" w:cstheme="minorHAnsi"/>
          <w:sz w:val="22"/>
          <w:szCs w:val="20"/>
        </w:rPr>
        <w:t>Singareni</w:t>
      </w:r>
      <w:proofErr w:type="spellEnd"/>
      <w:r w:rsidRPr="00435BC3">
        <w:rPr>
          <w:rFonts w:asciiTheme="minorHAnsi" w:hAnsiTheme="minorHAnsi" w:cstheme="minorHAnsi"/>
          <w:sz w:val="22"/>
          <w:szCs w:val="20"/>
        </w:rPr>
        <w:t>, PTC India</w:t>
      </w:r>
    </w:p>
    <w:p w:rsidR="00DD5EB8" w:rsidRPr="00435BC3" w:rsidRDefault="00DD5EB8" w:rsidP="00DD5EB8">
      <w:pPr>
        <w:spacing w:after="0"/>
        <w:jc w:val="both"/>
        <w:rPr>
          <w:rFonts w:asciiTheme="minorHAnsi" w:hAnsiTheme="minorHAnsi" w:cstheme="minorHAnsi"/>
          <w:sz w:val="22"/>
          <w:szCs w:val="20"/>
        </w:rPr>
      </w:pPr>
      <w:r w:rsidRPr="00435BC3">
        <w:rPr>
          <w:rFonts w:asciiTheme="minorHAnsi" w:hAnsiTheme="minorHAnsi" w:cstheme="minorHAnsi"/>
          <w:sz w:val="22"/>
          <w:szCs w:val="20"/>
        </w:rPr>
        <w:t>$ Requirement calculated by using approved losses</w:t>
      </w:r>
    </w:p>
    <w:p w:rsidR="00DD5EB8" w:rsidRPr="00435BC3" w:rsidRDefault="00DD5EB8" w:rsidP="00DD5EB8">
      <w:pPr>
        <w:pStyle w:val="ListParagraph"/>
        <w:jc w:val="both"/>
        <w:rPr>
          <w:rFonts w:asciiTheme="minorHAnsi" w:hAnsiTheme="minorHAnsi" w:cstheme="minorHAnsi"/>
        </w:rPr>
      </w:pPr>
    </w:p>
    <w:p w:rsidR="00330057" w:rsidRPr="00435BC3" w:rsidRDefault="00330057" w:rsidP="00330057">
      <w:pPr>
        <w:pStyle w:val="ListParagraph"/>
        <w:numPr>
          <w:ilvl w:val="0"/>
          <w:numId w:val="10"/>
        </w:numPr>
        <w:jc w:val="both"/>
        <w:rPr>
          <w:rFonts w:asciiTheme="minorHAnsi" w:hAnsiTheme="minorHAnsi" w:cstheme="minorHAnsi"/>
        </w:rPr>
      </w:pPr>
      <w:r w:rsidRPr="00435BC3">
        <w:rPr>
          <w:rFonts w:asciiTheme="minorHAnsi" w:hAnsiTheme="minorHAnsi" w:cstheme="minorHAnsi"/>
        </w:rPr>
        <w:t xml:space="preserve">Scheduling from several CGS plants like NTPC </w:t>
      </w:r>
      <w:proofErr w:type="spellStart"/>
      <w:r w:rsidRPr="00435BC3">
        <w:rPr>
          <w:rFonts w:asciiTheme="minorHAnsi" w:hAnsiTheme="minorHAnsi" w:cstheme="minorHAnsi"/>
        </w:rPr>
        <w:t>Ramagundam</w:t>
      </w:r>
      <w:proofErr w:type="spellEnd"/>
      <w:r w:rsidRPr="00435BC3">
        <w:rPr>
          <w:rFonts w:asciiTheme="minorHAnsi" w:hAnsiTheme="minorHAnsi" w:cstheme="minorHAnsi"/>
        </w:rPr>
        <w:t xml:space="preserve"> I, II &amp; III, NLC TPS II was significantly less.</w:t>
      </w:r>
      <w:r w:rsidR="00D74F49" w:rsidRPr="00435BC3">
        <w:rPr>
          <w:rFonts w:asciiTheme="minorHAnsi" w:hAnsiTheme="minorHAnsi" w:cstheme="minorHAnsi"/>
        </w:rPr>
        <w:t xml:space="preserve"> </w:t>
      </w:r>
    </w:p>
    <w:p w:rsidR="00D74F49" w:rsidRPr="00435BC3" w:rsidRDefault="00D74F49" w:rsidP="00D74F49">
      <w:pPr>
        <w:pStyle w:val="ListParagraph"/>
        <w:numPr>
          <w:ilvl w:val="0"/>
          <w:numId w:val="10"/>
        </w:numPr>
        <w:jc w:val="both"/>
        <w:rPr>
          <w:rFonts w:asciiTheme="minorHAnsi" w:hAnsiTheme="minorHAnsi" w:cstheme="minorHAnsi"/>
        </w:rPr>
      </w:pPr>
      <w:r w:rsidRPr="00435BC3">
        <w:rPr>
          <w:rFonts w:asciiTheme="minorHAnsi" w:hAnsiTheme="minorHAnsi" w:cstheme="minorHAnsi"/>
        </w:rPr>
        <w:t>At the time of Resource Plan filing, the expected COD of Telangana STPP (Phase I) Unit I &amp; Unit II was April 2023 and June 2023 respectively. However, the COD of TSTPP has been delayed resulting in zero scheduling of its power.</w:t>
      </w:r>
    </w:p>
    <w:p w:rsidR="00A72D4B" w:rsidRPr="00435BC3" w:rsidRDefault="00A72D4B" w:rsidP="00A72D4B">
      <w:pPr>
        <w:pStyle w:val="ListParagraph"/>
        <w:numPr>
          <w:ilvl w:val="0"/>
          <w:numId w:val="10"/>
        </w:numPr>
        <w:jc w:val="both"/>
        <w:rPr>
          <w:rFonts w:asciiTheme="minorHAnsi" w:hAnsiTheme="minorHAnsi" w:cstheme="minorHAnsi"/>
        </w:rPr>
      </w:pPr>
      <w:r w:rsidRPr="00435BC3">
        <w:rPr>
          <w:rFonts w:asciiTheme="minorHAnsi" w:hAnsiTheme="minorHAnsi" w:cstheme="minorHAnsi"/>
        </w:rPr>
        <w:t>CSPDCL scheduled zero power as against claimed dispatch of 1697 MU at the time of filing. The dispute over the outstanding amount remained unresolved considering which CSPDCL scheduled zero power in Q1 of FY 2023-24.</w:t>
      </w:r>
    </w:p>
    <w:p w:rsidR="00D74F49" w:rsidRPr="00435BC3" w:rsidRDefault="00D74F49" w:rsidP="00D74F49">
      <w:pPr>
        <w:pStyle w:val="ListParagraph"/>
        <w:numPr>
          <w:ilvl w:val="0"/>
          <w:numId w:val="10"/>
        </w:numPr>
        <w:jc w:val="both"/>
        <w:rPr>
          <w:rFonts w:asciiTheme="minorHAnsi" w:hAnsiTheme="minorHAnsi" w:cstheme="minorHAnsi"/>
        </w:rPr>
      </w:pPr>
      <w:r w:rsidRPr="00435BC3">
        <w:rPr>
          <w:rFonts w:asciiTheme="minorHAnsi" w:hAnsiTheme="minorHAnsi" w:cstheme="minorHAnsi"/>
        </w:rPr>
        <w:t xml:space="preserve">As we can see above, the dispatch did not match the </w:t>
      </w:r>
      <w:proofErr w:type="gramStart"/>
      <w:r w:rsidRPr="00435BC3">
        <w:rPr>
          <w:rFonts w:asciiTheme="minorHAnsi" w:hAnsiTheme="minorHAnsi" w:cstheme="minorHAnsi"/>
        </w:rPr>
        <w:t>requirement,</w:t>
      </w:r>
      <w:proofErr w:type="gramEnd"/>
      <w:r w:rsidRPr="00435BC3">
        <w:rPr>
          <w:rFonts w:asciiTheme="minorHAnsi" w:hAnsiTheme="minorHAnsi" w:cstheme="minorHAnsi"/>
        </w:rPr>
        <w:t xml:space="preserve"> TSDISCOMs had to depend purchase from short term market for the deficit of </w:t>
      </w:r>
      <w:r w:rsidR="00A72D4B" w:rsidRPr="00435BC3">
        <w:rPr>
          <w:rFonts w:asciiTheme="minorHAnsi" w:hAnsiTheme="minorHAnsi" w:cstheme="minorHAnsi"/>
        </w:rPr>
        <w:t>2210</w:t>
      </w:r>
      <w:r w:rsidRPr="00435BC3">
        <w:rPr>
          <w:rFonts w:asciiTheme="minorHAnsi" w:hAnsiTheme="minorHAnsi" w:cstheme="minorHAnsi"/>
        </w:rPr>
        <w:t xml:space="preserve"> MU.</w:t>
      </w:r>
    </w:p>
    <w:p w:rsidR="0014436C" w:rsidRPr="00435BC3" w:rsidRDefault="0014436C" w:rsidP="0014436C">
      <w:pPr>
        <w:jc w:val="both"/>
        <w:rPr>
          <w:rFonts w:asciiTheme="minorHAnsi" w:hAnsiTheme="minorHAnsi" w:cstheme="minorHAnsi"/>
          <w:b/>
          <w:bCs/>
          <w:u w:val="single"/>
        </w:rPr>
      </w:pPr>
      <w:r w:rsidRPr="00435BC3">
        <w:rPr>
          <w:rFonts w:asciiTheme="minorHAnsi" w:hAnsiTheme="minorHAnsi" w:cstheme="minorHAnsi"/>
          <w:b/>
          <w:bCs/>
          <w:u w:val="single"/>
        </w:rPr>
        <w:t>Conclusion</w:t>
      </w:r>
      <w:r w:rsidR="008171B5" w:rsidRPr="00435BC3">
        <w:rPr>
          <w:rFonts w:asciiTheme="minorHAnsi" w:hAnsiTheme="minorHAnsi" w:cstheme="minorHAnsi"/>
          <w:b/>
          <w:bCs/>
          <w:u w:val="single"/>
        </w:rPr>
        <w:t xml:space="preserve"> from the analysis of 4</w:t>
      </w:r>
      <w:r w:rsidR="008171B5" w:rsidRPr="00435BC3">
        <w:rPr>
          <w:rFonts w:asciiTheme="minorHAnsi" w:hAnsiTheme="minorHAnsi" w:cstheme="minorHAnsi"/>
          <w:b/>
          <w:bCs/>
          <w:u w:val="single"/>
          <w:vertAlign w:val="superscript"/>
        </w:rPr>
        <w:t>th</w:t>
      </w:r>
      <w:r w:rsidR="008171B5" w:rsidRPr="00435BC3">
        <w:rPr>
          <w:rFonts w:asciiTheme="minorHAnsi" w:hAnsiTheme="minorHAnsi" w:cstheme="minorHAnsi"/>
          <w:b/>
          <w:bCs/>
          <w:u w:val="single"/>
        </w:rPr>
        <w:t xml:space="preserve"> Control period </w:t>
      </w:r>
    </w:p>
    <w:p w:rsidR="0014436C" w:rsidRPr="00435BC3" w:rsidRDefault="0014436C" w:rsidP="0014436C">
      <w:pPr>
        <w:pStyle w:val="ListParagraph"/>
        <w:numPr>
          <w:ilvl w:val="0"/>
          <w:numId w:val="10"/>
        </w:numPr>
        <w:jc w:val="both"/>
        <w:rPr>
          <w:rFonts w:asciiTheme="minorHAnsi" w:hAnsiTheme="minorHAnsi" w:cstheme="minorHAnsi"/>
        </w:rPr>
      </w:pPr>
      <w:r w:rsidRPr="00435BC3">
        <w:rPr>
          <w:rFonts w:asciiTheme="minorHAnsi" w:hAnsiTheme="minorHAnsi" w:cstheme="minorHAnsi"/>
        </w:rPr>
        <w:t xml:space="preserve">From the </w:t>
      </w:r>
      <w:r w:rsidR="00B14F97" w:rsidRPr="00435BC3">
        <w:rPr>
          <w:rFonts w:asciiTheme="minorHAnsi" w:hAnsiTheme="minorHAnsi" w:cstheme="minorHAnsi"/>
        </w:rPr>
        <w:t xml:space="preserve">variance </w:t>
      </w:r>
      <w:r w:rsidRPr="00435BC3">
        <w:rPr>
          <w:rFonts w:asciiTheme="minorHAnsi" w:hAnsiTheme="minorHAnsi" w:cstheme="minorHAnsi"/>
        </w:rPr>
        <w:t xml:space="preserve">information </w:t>
      </w:r>
      <w:r w:rsidR="00B14F97" w:rsidRPr="00435BC3">
        <w:rPr>
          <w:rFonts w:asciiTheme="minorHAnsi" w:hAnsiTheme="minorHAnsi" w:cstheme="minorHAnsi"/>
        </w:rPr>
        <w:t>tabulated above and its reasons provided thereof it can be concluded that even in case of long term PPA</w:t>
      </w:r>
      <w:r w:rsidRPr="00435BC3">
        <w:rPr>
          <w:rFonts w:asciiTheme="minorHAnsi" w:hAnsiTheme="minorHAnsi" w:cstheme="minorHAnsi"/>
        </w:rPr>
        <w:t xml:space="preserve"> </w:t>
      </w:r>
      <w:r w:rsidR="00B14F97" w:rsidRPr="00435BC3">
        <w:rPr>
          <w:rFonts w:asciiTheme="minorHAnsi" w:hAnsiTheme="minorHAnsi" w:cstheme="minorHAnsi"/>
        </w:rPr>
        <w:t>done for a contracted capacity with firm power source, the variance between the claimed/ projected availability and the power scheduled from those sources can be significantly high.</w:t>
      </w:r>
    </w:p>
    <w:p w:rsidR="0014436C" w:rsidRPr="00435BC3" w:rsidRDefault="00B14F97" w:rsidP="0014436C">
      <w:pPr>
        <w:pStyle w:val="ListParagraph"/>
        <w:numPr>
          <w:ilvl w:val="0"/>
          <w:numId w:val="10"/>
        </w:numPr>
        <w:jc w:val="both"/>
        <w:rPr>
          <w:rFonts w:asciiTheme="minorHAnsi" w:hAnsiTheme="minorHAnsi" w:cstheme="minorHAnsi"/>
        </w:rPr>
      </w:pPr>
      <w:r w:rsidRPr="00435BC3">
        <w:rPr>
          <w:rFonts w:asciiTheme="minorHAnsi" w:hAnsiTheme="minorHAnsi" w:cstheme="minorHAnsi"/>
        </w:rPr>
        <w:t xml:space="preserve">This variance can be attributed to </w:t>
      </w:r>
      <w:r w:rsidR="0014436C" w:rsidRPr="00435BC3">
        <w:rPr>
          <w:rFonts w:asciiTheme="minorHAnsi" w:hAnsiTheme="minorHAnsi" w:cstheme="minorHAnsi"/>
        </w:rPr>
        <w:t>different reasons like coal shortage, reduction in PLF ascribed to performance issues, transmission constraints, backing down of a power plant due to availability of cheaper power from a difference source, delay in COD of a unit/ plant, malfunctioning of the power plant, high quantum of dispatch from the Hydel power plants attributable to higher rainfall, etc.</w:t>
      </w:r>
    </w:p>
    <w:p w:rsidR="0014436C" w:rsidRPr="00435BC3" w:rsidRDefault="004636DA" w:rsidP="004636DA">
      <w:pPr>
        <w:pStyle w:val="ListParagraph"/>
        <w:numPr>
          <w:ilvl w:val="0"/>
          <w:numId w:val="10"/>
        </w:numPr>
        <w:jc w:val="both"/>
        <w:rPr>
          <w:rFonts w:asciiTheme="minorHAnsi" w:hAnsiTheme="minorHAnsi" w:cstheme="minorHAnsi"/>
        </w:rPr>
      </w:pPr>
      <w:r w:rsidRPr="00435BC3">
        <w:rPr>
          <w:rFonts w:asciiTheme="minorHAnsi" w:hAnsiTheme="minorHAnsi" w:cstheme="minorHAnsi"/>
        </w:rPr>
        <w:lastRenderedPageBreak/>
        <w:t xml:space="preserve">It can be seen that originally the expected COD of Telangana STPP (Phase I) Unit I &amp; Unit II was October 2022 and January 2023 respectively. However, TSTPP has not been commissioned even till August 2023. </w:t>
      </w:r>
    </w:p>
    <w:p w:rsidR="004636DA" w:rsidRPr="00435BC3" w:rsidRDefault="00A3107B" w:rsidP="004636DA">
      <w:pPr>
        <w:pStyle w:val="ListParagraph"/>
        <w:numPr>
          <w:ilvl w:val="0"/>
          <w:numId w:val="10"/>
        </w:numPr>
        <w:jc w:val="both"/>
        <w:rPr>
          <w:rFonts w:asciiTheme="minorHAnsi" w:hAnsiTheme="minorHAnsi" w:cstheme="minorHAnsi"/>
        </w:rPr>
      </w:pPr>
      <w:r w:rsidRPr="00435BC3">
        <w:rPr>
          <w:rFonts w:asciiTheme="minorHAnsi" w:hAnsiTheme="minorHAnsi" w:cstheme="minorHAnsi"/>
        </w:rPr>
        <w:t xml:space="preserve">Further, scarcity of coal in H1 of FY 2022-23 lead to few plants </w:t>
      </w:r>
      <w:r w:rsidRPr="00435BC3">
        <w:rPr>
          <w:rFonts w:asciiTheme="minorHAnsi" w:hAnsiTheme="minorHAnsi" w:cstheme="minorHAnsi"/>
          <w:sz w:val="23"/>
          <w:szCs w:val="23"/>
        </w:rPr>
        <w:t>reduced its declared plant availability.</w:t>
      </w:r>
    </w:p>
    <w:p w:rsidR="00A3107B" w:rsidRPr="00435BC3" w:rsidRDefault="00A3107B" w:rsidP="004636DA">
      <w:pPr>
        <w:pStyle w:val="ListParagraph"/>
        <w:numPr>
          <w:ilvl w:val="0"/>
          <w:numId w:val="10"/>
        </w:numPr>
        <w:jc w:val="both"/>
        <w:rPr>
          <w:rFonts w:asciiTheme="minorHAnsi" w:hAnsiTheme="minorHAnsi" w:cstheme="minorHAnsi"/>
        </w:rPr>
      </w:pPr>
      <w:r w:rsidRPr="00435BC3">
        <w:rPr>
          <w:rFonts w:asciiTheme="minorHAnsi" w:hAnsiTheme="minorHAnsi" w:cstheme="minorHAnsi"/>
        </w:rPr>
        <w:t>From FY 2019-20 to FY 2022-23, because of high rainfall, the dispatch from the Hydel plants were very high. However, the changing climate have changed the pattern of rainfall made them more unpredictable. So dependence on Hydel plants will be erroneous.</w:t>
      </w:r>
    </w:p>
    <w:p w:rsidR="00A3107B" w:rsidRPr="00435BC3" w:rsidRDefault="00A3107B" w:rsidP="00A3107B">
      <w:pPr>
        <w:pStyle w:val="ListParagraph"/>
        <w:numPr>
          <w:ilvl w:val="0"/>
          <w:numId w:val="10"/>
        </w:numPr>
        <w:jc w:val="both"/>
        <w:rPr>
          <w:rFonts w:asciiTheme="minorHAnsi" w:hAnsiTheme="minorHAnsi" w:cstheme="minorHAnsi"/>
        </w:rPr>
      </w:pPr>
      <w:r w:rsidRPr="00435BC3">
        <w:rPr>
          <w:rFonts w:asciiTheme="minorHAnsi" w:hAnsiTheme="minorHAnsi" w:cstheme="minorHAnsi"/>
        </w:rPr>
        <w:t>All the above cited reasons are beyond the control of TSDISOMs. This leads to deficit in demand and supply leading to requirement of power purchase from markets which are unpredictable in terms of its purchase price and quantum. This leads to imposition of burden of high-cost short term power purchase on the consumers.</w:t>
      </w:r>
    </w:p>
    <w:p w:rsidR="008171B5" w:rsidRPr="00435BC3" w:rsidRDefault="008171B5" w:rsidP="008171B5">
      <w:pPr>
        <w:jc w:val="both"/>
        <w:rPr>
          <w:rFonts w:asciiTheme="minorHAnsi" w:hAnsiTheme="minorHAnsi" w:cstheme="minorHAnsi"/>
        </w:rPr>
      </w:pPr>
    </w:p>
    <w:p w:rsidR="00574E93" w:rsidRPr="00435BC3" w:rsidRDefault="00574E93" w:rsidP="008171B5">
      <w:pPr>
        <w:jc w:val="both"/>
        <w:rPr>
          <w:rFonts w:asciiTheme="minorHAnsi" w:hAnsiTheme="minorHAnsi" w:cstheme="minorHAnsi"/>
        </w:rPr>
      </w:pPr>
    </w:p>
    <w:p w:rsidR="00574E93" w:rsidRPr="00435BC3" w:rsidRDefault="00574E93">
      <w:pPr>
        <w:rPr>
          <w:rFonts w:asciiTheme="minorHAnsi" w:hAnsiTheme="minorHAnsi" w:cstheme="minorHAnsi"/>
        </w:rPr>
      </w:pPr>
      <w:r w:rsidRPr="00435BC3">
        <w:rPr>
          <w:rFonts w:asciiTheme="minorHAnsi" w:hAnsiTheme="minorHAnsi" w:cstheme="minorHAnsi"/>
        </w:rPr>
        <w:br w:type="page"/>
      </w:r>
    </w:p>
    <w:p w:rsidR="00574E93" w:rsidRPr="00435BC3" w:rsidRDefault="00574E93" w:rsidP="00574E93">
      <w:pPr>
        <w:ind w:left="720" w:hanging="360"/>
        <w:jc w:val="both"/>
        <w:rPr>
          <w:rFonts w:asciiTheme="minorHAnsi" w:hAnsiTheme="minorHAnsi" w:cstheme="minorHAnsi"/>
          <w:sz w:val="28"/>
          <w:szCs w:val="24"/>
          <w:u w:val="single"/>
        </w:rPr>
      </w:pPr>
      <w:r w:rsidRPr="00435BC3">
        <w:rPr>
          <w:rFonts w:asciiTheme="minorHAnsi" w:hAnsiTheme="minorHAnsi" w:cstheme="minorHAnsi"/>
          <w:sz w:val="28"/>
          <w:szCs w:val="24"/>
          <w:u w:val="single"/>
        </w:rPr>
        <w:lastRenderedPageBreak/>
        <w:t>Variance of Sales of TS Discoms in 4</w:t>
      </w:r>
      <w:r w:rsidRPr="00435BC3">
        <w:rPr>
          <w:rFonts w:asciiTheme="minorHAnsi" w:hAnsiTheme="minorHAnsi" w:cstheme="minorHAnsi"/>
          <w:sz w:val="28"/>
          <w:szCs w:val="24"/>
          <w:u w:val="single"/>
          <w:vertAlign w:val="superscript"/>
        </w:rPr>
        <w:t>th</w:t>
      </w:r>
      <w:r w:rsidRPr="00435BC3">
        <w:rPr>
          <w:rFonts w:asciiTheme="minorHAnsi" w:hAnsiTheme="minorHAnsi" w:cstheme="minorHAnsi"/>
          <w:sz w:val="28"/>
          <w:szCs w:val="24"/>
          <w:u w:val="single"/>
        </w:rPr>
        <w:t xml:space="preserve"> Control Period</w:t>
      </w:r>
    </w:p>
    <w:p w:rsidR="00693AD4" w:rsidRPr="00435BC3" w:rsidRDefault="00693AD4" w:rsidP="00693AD4">
      <w:pPr>
        <w:jc w:val="both"/>
        <w:rPr>
          <w:rFonts w:asciiTheme="minorHAnsi" w:hAnsiTheme="minorHAnsi" w:cstheme="minorHAnsi"/>
        </w:rPr>
      </w:pPr>
      <w:r w:rsidRPr="00435BC3">
        <w:rPr>
          <w:rFonts w:asciiTheme="minorHAnsi" w:hAnsiTheme="minorHAnsi" w:cstheme="minorHAnsi"/>
        </w:rPr>
        <w:t>TSDISCOMs employ standard modified trend method to arrive at projected sales at the time of filing. However, during the 4</w:t>
      </w:r>
      <w:r w:rsidRPr="00435BC3">
        <w:rPr>
          <w:rFonts w:asciiTheme="minorHAnsi" w:hAnsiTheme="minorHAnsi" w:cstheme="minorHAnsi"/>
          <w:vertAlign w:val="superscript"/>
        </w:rPr>
        <w:t>th</w:t>
      </w:r>
      <w:r w:rsidRPr="00435BC3">
        <w:rPr>
          <w:rFonts w:asciiTheme="minorHAnsi" w:hAnsiTheme="minorHAnsi" w:cstheme="minorHAnsi"/>
        </w:rPr>
        <w:t xml:space="preserve"> Control period, significant variance between the projected sales and the actual position of sales can be observed. The year wise, discom wise and consumer category wise variance in sales is tabulated below:</w:t>
      </w:r>
    </w:p>
    <w:p w:rsidR="006539E3" w:rsidRPr="00435BC3" w:rsidRDefault="006539E3" w:rsidP="006539E3">
      <w:pPr>
        <w:jc w:val="both"/>
        <w:rPr>
          <w:rFonts w:asciiTheme="minorHAnsi" w:hAnsiTheme="minorHAnsi" w:cstheme="minorHAnsi"/>
          <w:sz w:val="23"/>
          <w:szCs w:val="23"/>
        </w:rPr>
      </w:pPr>
      <w:r w:rsidRPr="00435BC3">
        <w:rPr>
          <w:rFonts w:asciiTheme="minorHAnsi" w:hAnsiTheme="minorHAnsi" w:cstheme="minorHAnsi"/>
        </w:rPr>
        <w:t>It is to be noted that, as the filing of FY 2019-20 was carried out on 31.03.2021, TSDISCOMS used actual data of sales , hence the variance between the filed availability and the actual purchase is negligible.</w:t>
      </w:r>
    </w:p>
    <w:p w:rsidR="00976D04" w:rsidRPr="00435BC3" w:rsidRDefault="00976D04" w:rsidP="00976D04">
      <w:pPr>
        <w:jc w:val="both"/>
        <w:rPr>
          <w:rFonts w:asciiTheme="minorHAnsi" w:hAnsiTheme="minorHAnsi" w:cstheme="minorHAnsi"/>
          <w:b/>
          <w:bCs/>
          <w:u w:val="single"/>
        </w:rPr>
      </w:pPr>
      <w:r w:rsidRPr="00435BC3">
        <w:rPr>
          <w:rFonts w:asciiTheme="minorHAnsi" w:hAnsiTheme="minorHAnsi" w:cstheme="minorHAnsi"/>
          <w:b/>
          <w:bCs/>
          <w:u w:val="single"/>
        </w:rPr>
        <w:t>FY 2019-20</w:t>
      </w:r>
    </w:p>
    <w:p w:rsidR="00976D04" w:rsidRPr="00435BC3" w:rsidRDefault="00976D04" w:rsidP="00976D04">
      <w:pPr>
        <w:jc w:val="both"/>
        <w:rPr>
          <w:rFonts w:asciiTheme="minorHAnsi" w:hAnsiTheme="minorHAnsi" w:cstheme="minorHAnsi"/>
          <w:u w:val="single"/>
        </w:rPr>
      </w:pPr>
      <w:r w:rsidRPr="00435BC3">
        <w:rPr>
          <w:rFonts w:asciiTheme="minorHAnsi" w:hAnsiTheme="minorHAnsi" w:cstheme="minorHAnsi"/>
          <w:u w:val="single"/>
        </w:rPr>
        <w:t>TSSPDCL</w:t>
      </w:r>
    </w:p>
    <w:p w:rsidR="00254B81" w:rsidRPr="00435BC3" w:rsidRDefault="00CB79BF" w:rsidP="00254B81">
      <w:pPr>
        <w:spacing w:after="0"/>
        <w:jc w:val="right"/>
        <w:rPr>
          <w:rFonts w:asciiTheme="minorHAnsi" w:hAnsiTheme="minorHAnsi" w:cstheme="minorHAnsi"/>
        </w:rPr>
      </w:pPr>
      <w:r w:rsidRPr="00435BC3">
        <w:rPr>
          <w:rFonts w:asciiTheme="minorHAnsi" w:hAnsiTheme="minorHAnsi" w:cstheme="minorHAnsi"/>
        </w:rPr>
        <w:tab/>
      </w:r>
      <w:r w:rsidR="00254B81" w:rsidRPr="00435BC3">
        <w:rPr>
          <w:rFonts w:asciiTheme="minorHAnsi" w:hAnsiTheme="minorHAnsi" w:cstheme="minorHAnsi"/>
        </w:rPr>
        <w:t>Figures in MU</w:t>
      </w:r>
    </w:p>
    <w:tbl>
      <w:tblPr>
        <w:tblW w:w="8489" w:type="dxa"/>
        <w:jc w:val="center"/>
        <w:tblLook w:val="04A0"/>
      </w:tblPr>
      <w:tblGrid>
        <w:gridCol w:w="4769"/>
        <w:gridCol w:w="1280"/>
        <w:gridCol w:w="1280"/>
        <w:gridCol w:w="1160"/>
      </w:tblGrid>
      <w:tr w:rsidR="00FB56AC" w:rsidRPr="00435BC3" w:rsidTr="00346E72">
        <w:trPr>
          <w:trHeight w:val="320"/>
          <w:jc w:val="center"/>
        </w:trPr>
        <w:tc>
          <w:tcPr>
            <w:tcW w:w="4769"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Consumer Category </w:t>
            </w:r>
          </w:p>
        </w:tc>
        <w:tc>
          <w:tcPr>
            <w:tcW w:w="1280" w:type="dxa"/>
            <w:tcBorders>
              <w:top w:val="single" w:sz="8" w:space="0" w:color="auto"/>
              <w:left w:val="nil"/>
              <w:bottom w:val="nil"/>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 Filed (MU)</w:t>
            </w:r>
          </w:p>
        </w:tc>
        <w:tc>
          <w:tcPr>
            <w:tcW w:w="1280" w:type="dxa"/>
            <w:tcBorders>
              <w:top w:val="single" w:sz="8" w:space="0" w:color="auto"/>
              <w:left w:val="nil"/>
              <w:bottom w:val="nil"/>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 Actual (MU)</w:t>
            </w:r>
          </w:p>
        </w:tc>
        <w:tc>
          <w:tcPr>
            <w:tcW w:w="1160" w:type="dxa"/>
            <w:tcBorders>
              <w:top w:val="single" w:sz="8" w:space="0" w:color="auto"/>
              <w:left w:val="nil"/>
              <w:bottom w:val="nil"/>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 Variance </w:t>
            </w:r>
          </w:p>
        </w:tc>
      </w:tr>
      <w:tr w:rsidR="00FB56AC" w:rsidRPr="00435BC3" w:rsidTr="00346E72">
        <w:trPr>
          <w:trHeight w:val="320"/>
          <w:jc w:val="center"/>
        </w:trPr>
        <w:tc>
          <w:tcPr>
            <w:tcW w:w="4769" w:type="dxa"/>
            <w:tcBorders>
              <w:top w:val="nil"/>
              <w:left w:val="single" w:sz="8" w:space="0" w:color="auto"/>
              <w:bottom w:val="single" w:sz="8" w:space="0" w:color="auto"/>
              <w:right w:val="single" w:sz="8" w:space="0" w:color="auto"/>
            </w:tcBorders>
            <w:shd w:val="clear" w:color="000000" w:fill="CCFFCC"/>
            <w:noWrap/>
            <w:vAlign w:val="center"/>
            <w:hideMark/>
          </w:tcPr>
          <w:p w:rsidR="00FB56AC" w:rsidRPr="00435BC3" w:rsidRDefault="00FB56AC" w:rsidP="00346E72">
            <w:pPr>
              <w:spacing w:after="0" w:line="240" w:lineRule="auto"/>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LT Category</w:t>
            </w:r>
          </w:p>
        </w:tc>
        <w:tc>
          <w:tcPr>
            <w:tcW w:w="1280" w:type="dxa"/>
            <w:tcBorders>
              <w:top w:val="single" w:sz="8" w:space="0" w:color="auto"/>
              <w:left w:val="nil"/>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23569</w:t>
            </w:r>
          </w:p>
        </w:tc>
        <w:tc>
          <w:tcPr>
            <w:tcW w:w="1280" w:type="dxa"/>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23569</w:t>
            </w:r>
          </w:p>
        </w:tc>
        <w:tc>
          <w:tcPr>
            <w:tcW w:w="1160" w:type="dxa"/>
            <w:tcBorders>
              <w:top w:val="single" w:sz="8" w:space="0" w:color="auto"/>
              <w:left w:val="single" w:sz="8" w:space="0" w:color="auto"/>
              <w:bottom w:val="single" w:sz="8" w:space="0" w:color="auto"/>
              <w:right w:val="single" w:sz="8"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I - Domestic </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8710</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8710</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II - Non-domestic/Commercial </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2582</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2582</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Category III - Industr</w:t>
            </w:r>
            <w:r>
              <w:rPr>
                <w:rFonts w:asciiTheme="minorHAnsi" w:eastAsia="Times New Roman" w:hAnsiTheme="minorHAnsi" w:cstheme="minorHAnsi"/>
                <w:szCs w:val="24"/>
              </w:rPr>
              <w:t>y</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847</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847</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IV - Cottage Industries </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V - Agriculture </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10818</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10818</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VI - St. Lighting &amp; PWS </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484</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484</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VII - General </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77</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77</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VIII-Temporary Supply </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43</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43</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20"/>
          <w:jc w:val="center"/>
        </w:trPr>
        <w:tc>
          <w:tcPr>
            <w:tcW w:w="4769" w:type="dxa"/>
            <w:tcBorders>
              <w:top w:val="single" w:sz="8" w:space="0" w:color="auto"/>
              <w:left w:val="single" w:sz="8" w:space="0" w:color="auto"/>
              <w:bottom w:val="single" w:sz="8" w:space="0" w:color="auto"/>
              <w:right w:val="single" w:sz="8" w:space="0" w:color="auto"/>
            </w:tcBorders>
            <w:shd w:val="clear" w:color="000000" w:fill="CCFFCC"/>
            <w:noWrap/>
            <w:vAlign w:val="center"/>
            <w:hideMark/>
          </w:tcPr>
          <w:p w:rsidR="00FB56AC" w:rsidRPr="00435BC3" w:rsidRDefault="00FB56AC" w:rsidP="00346E72">
            <w:pPr>
              <w:spacing w:after="0" w:line="240" w:lineRule="auto"/>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HIGH TENSION</w:t>
            </w:r>
          </w:p>
        </w:tc>
        <w:tc>
          <w:tcPr>
            <w:tcW w:w="1280" w:type="dxa"/>
            <w:tcBorders>
              <w:top w:val="single" w:sz="8" w:space="0" w:color="auto"/>
              <w:left w:val="nil"/>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16340</w:t>
            </w:r>
          </w:p>
        </w:tc>
        <w:tc>
          <w:tcPr>
            <w:tcW w:w="1280" w:type="dxa"/>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16337</w:t>
            </w:r>
          </w:p>
        </w:tc>
        <w:tc>
          <w:tcPr>
            <w:tcW w:w="1160" w:type="dxa"/>
            <w:tcBorders>
              <w:top w:val="single" w:sz="8" w:space="0" w:color="auto"/>
              <w:left w:val="single" w:sz="8" w:space="0" w:color="auto"/>
              <w:bottom w:val="single" w:sz="8" w:space="0" w:color="auto"/>
              <w:right w:val="single" w:sz="8"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2</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Industry </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10622</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1062</w:t>
            </w:r>
            <w:r>
              <w:rPr>
                <w:rFonts w:asciiTheme="minorHAnsi" w:eastAsia="Times New Roman" w:hAnsiTheme="minorHAnsi" w:cstheme="minorHAnsi"/>
                <w:color w:val="000000"/>
                <w:szCs w:val="24"/>
              </w:rPr>
              <w:t>2</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Others </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2583</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2581</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HT-III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Airports, Bus Stations and Railway Stations</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91</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91</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HT-IV</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Irrigation </w:t>
            </w:r>
            <w:r>
              <w:rPr>
                <w:rFonts w:asciiTheme="minorHAnsi" w:eastAsia="Times New Roman" w:hAnsiTheme="minorHAnsi" w:cstheme="minorHAnsi"/>
                <w:szCs w:val="24"/>
              </w:rPr>
              <w:t xml:space="preserve">&amp; Agriculture and </w:t>
            </w:r>
            <w:r w:rsidRPr="00435BC3">
              <w:rPr>
                <w:rFonts w:asciiTheme="minorHAnsi" w:eastAsia="Times New Roman" w:hAnsiTheme="minorHAnsi" w:cstheme="minorHAnsi"/>
                <w:szCs w:val="24"/>
              </w:rPr>
              <w:t>CPWS</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2380</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2380</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HT-V</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Railway Traction (including HMR)</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331</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249</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82</w:t>
            </w:r>
          </w:p>
        </w:tc>
      </w:tr>
      <w:tr w:rsidR="00FB56AC" w:rsidRPr="00435BC3" w:rsidTr="00346E72">
        <w:trPr>
          <w:trHeight w:val="310"/>
          <w:jc w:val="center"/>
        </w:trPr>
        <w:tc>
          <w:tcPr>
            <w:tcW w:w="4769" w:type="dxa"/>
            <w:tcBorders>
              <w:top w:val="nil"/>
              <w:left w:val="single" w:sz="8" w:space="0" w:color="auto"/>
              <w:bottom w:val="single" w:sz="4" w:space="0" w:color="auto"/>
              <w:right w:val="single" w:sz="8"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HT-VI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Townships and Residential Colonies</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195</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276</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-81</w:t>
            </w:r>
          </w:p>
        </w:tc>
      </w:tr>
      <w:tr w:rsidR="00FB56AC" w:rsidRPr="00435BC3" w:rsidTr="00346E72">
        <w:trPr>
          <w:trHeight w:val="310"/>
          <w:jc w:val="center"/>
        </w:trPr>
        <w:tc>
          <w:tcPr>
            <w:tcW w:w="4769" w:type="dxa"/>
            <w:tcBorders>
              <w:top w:val="nil"/>
              <w:left w:val="single" w:sz="8" w:space="0" w:color="auto"/>
              <w:bottom w:val="nil"/>
              <w:right w:val="single" w:sz="8"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HT-VII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Temporary </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136</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136</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0</w:t>
            </w:r>
          </w:p>
        </w:tc>
      </w:tr>
      <w:tr w:rsidR="00FB56AC" w:rsidRPr="00435BC3" w:rsidTr="00346E72">
        <w:trPr>
          <w:trHeight w:val="310"/>
          <w:jc w:val="center"/>
        </w:trPr>
        <w:tc>
          <w:tcPr>
            <w:tcW w:w="4769"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 VIII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RESCOs</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c>
          <w:tcPr>
            <w:tcW w:w="116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0</w:t>
            </w:r>
          </w:p>
        </w:tc>
      </w:tr>
      <w:tr w:rsidR="00FB56AC" w:rsidRPr="00435BC3" w:rsidTr="00346E72">
        <w:trPr>
          <w:trHeight w:val="320"/>
          <w:jc w:val="center"/>
        </w:trPr>
        <w:tc>
          <w:tcPr>
            <w:tcW w:w="4769" w:type="dxa"/>
            <w:tcBorders>
              <w:top w:val="nil"/>
              <w:left w:val="single" w:sz="8" w:space="0" w:color="auto"/>
              <w:bottom w:val="single" w:sz="8" w:space="0" w:color="auto"/>
              <w:right w:val="single" w:sz="8"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HT-IX</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EV</w:t>
            </w:r>
            <w:r>
              <w:rPr>
                <w:rFonts w:asciiTheme="minorHAnsi" w:eastAsia="Times New Roman" w:hAnsiTheme="minorHAnsi" w:cstheme="minorHAnsi"/>
                <w:szCs w:val="24"/>
              </w:rPr>
              <w:t xml:space="preserve"> Charging Station</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c>
          <w:tcPr>
            <w:tcW w:w="1160" w:type="dxa"/>
            <w:tcBorders>
              <w:top w:val="nil"/>
              <w:left w:val="nil"/>
              <w:bottom w:val="single" w:sz="8"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2</w:t>
            </w:r>
          </w:p>
        </w:tc>
      </w:tr>
      <w:tr w:rsidR="00FB56AC" w:rsidRPr="00435BC3" w:rsidTr="00346E72">
        <w:trPr>
          <w:trHeight w:val="320"/>
          <w:jc w:val="center"/>
        </w:trPr>
        <w:tc>
          <w:tcPr>
            <w:tcW w:w="4769" w:type="dxa"/>
            <w:tcBorders>
              <w:top w:val="nil"/>
              <w:left w:val="single" w:sz="8" w:space="0" w:color="auto"/>
              <w:bottom w:val="single" w:sz="8" w:space="0" w:color="auto"/>
              <w:right w:val="single" w:sz="8" w:space="0" w:color="auto"/>
            </w:tcBorders>
            <w:shd w:val="clear" w:color="000000" w:fill="AEAAAA"/>
            <w:noWrap/>
            <w:vAlign w:val="center"/>
            <w:hideMark/>
          </w:tcPr>
          <w:p w:rsidR="00FB56AC" w:rsidRPr="00435BC3" w:rsidRDefault="00FB56AC" w:rsidP="00346E72">
            <w:pPr>
              <w:spacing w:after="0" w:line="240" w:lineRule="auto"/>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TOTAL( LT + HT)</w:t>
            </w:r>
          </w:p>
        </w:tc>
        <w:tc>
          <w:tcPr>
            <w:tcW w:w="1280" w:type="dxa"/>
            <w:tcBorders>
              <w:top w:val="nil"/>
              <w:left w:val="nil"/>
              <w:bottom w:val="single" w:sz="8" w:space="0" w:color="auto"/>
              <w:right w:val="nil"/>
            </w:tcBorders>
            <w:shd w:val="clear" w:color="000000" w:fill="AEAAAA"/>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39909</w:t>
            </w:r>
          </w:p>
        </w:tc>
        <w:tc>
          <w:tcPr>
            <w:tcW w:w="1280" w:type="dxa"/>
            <w:tcBorders>
              <w:top w:val="nil"/>
              <w:left w:val="single" w:sz="8" w:space="0" w:color="auto"/>
              <w:bottom w:val="single" w:sz="8" w:space="0" w:color="auto"/>
              <w:right w:val="nil"/>
            </w:tcBorders>
            <w:shd w:val="clear" w:color="000000" w:fill="AEAAAA"/>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39907</w:t>
            </w:r>
          </w:p>
        </w:tc>
        <w:tc>
          <w:tcPr>
            <w:tcW w:w="1160" w:type="dxa"/>
            <w:tcBorders>
              <w:top w:val="nil"/>
              <w:left w:val="single" w:sz="8" w:space="0" w:color="auto"/>
              <w:bottom w:val="single" w:sz="8" w:space="0" w:color="auto"/>
              <w:right w:val="single" w:sz="8" w:space="0" w:color="auto"/>
            </w:tcBorders>
            <w:shd w:val="clear" w:color="000000" w:fill="AEAAAA"/>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2</w:t>
            </w:r>
          </w:p>
        </w:tc>
      </w:tr>
    </w:tbl>
    <w:p w:rsidR="00976D04" w:rsidRPr="00435BC3" w:rsidRDefault="00976D04" w:rsidP="00976D04">
      <w:pPr>
        <w:jc w:val="both"/>
        <w:rPr>
          <w:rFonts w:asciiTheme="minorHAnsi" w:hAnsiTheme="minorHAnsi" w:cstheme="minorHAnsi"/>
        </w:rPr>
      </w:pPr>
    </w:p>
    <w:p w:rsidR="00976D04" w:rsidRPr="00435BC3" w:rsidRDefault="00976D04" w:rsidP="00976D04">
      <w:pPr>
        <w:jc w:val="both"/>
        <w:rPr>
          <w:rFonts w:asciiTheme="minorHAnsi" w:hAnsiTheme="minorHAnsi" w:cstheme="minorHAnsi"/>
        </w:rPr>
      </w:pPr>
    </w:p>
    <w:p w:rsidR="00976D04" w:rsidRPr="00435BC3" w:rsidRDefault="00976D04" w:rsidP="00976D04">
      <w:pPr>
        <w:jc w:val="both"/>
        <w:rPr>
          <w:rFonts w:asciiTheme="minorHAnsi" w:hAnsiTheme="minorHAnsi" w:cstheme="minorHAnsi"/>
          <w:u w:val="single"/>
        </w:rPr>
      </w:pPr>
      <w:r w:rsidRPr="00435BC3">
        <w:rPr>
          <w:rFonts w:asciiTheme="minorHAnsi" w:hAnsiTheme="minorHAnsi" w:cstheme="minorHAnsi"/>
          <w:u w:val="single"/>
        </w:rPr>
        <w:lastRenderedPageBreak/>
        <w:t>TSNPDCL</w:t>
      </w:r>
    </w:p>
    <w:p w:rsidR="00254B81" w:rsidRPr="00435BC3" w:rsidRDefault="00254B81" w:rsidP="00254B81">
      <w:pPr>
        <w:spacing w:after="0"/>
        <w:jc w:val="right"/>
        <w:rPr>
          <w:rFonts w:asciiTheme="minorHAnsi" w:hAnsiTheme="minorHAnsi" w:cstheme="minorHAnsi"/>
        </w:rPr>
      </w:pPr>
      <w:r w:rsidRPr="00435BC3">
        <w:rPr>
          <w:rFonts w:asciiTheme="minorHAnsi" w:hAnsiTheme="minorHAnsi" w:cstheme="minorHAnsi"/>
        </w:rPr>
        <w:t>Figures in MU</w:t>
      </w:r>
    </w:p>
    <w:tbl>
      <w:tblPr>
        <w:tblW w:w="0" w:type="auto"/>
        <w:jc w:val="center"/>
        <w:tblLook w:val="04A0"/>
      </w:tblPr>
      <w:tblGrid>
        <w:gridCol w:w="5019"/>
        <w:gridCol w:w="1319"/>
        <w:gridCol w:w="1476"/>
        <w:gridCol w:w="1144"/>
      </w:tblGrid>
      <w:tr w:rsidR="00FB56AC" w:rsidRPr="00435BC3" w:rsidTr="00346E72">
        <w:trPr>
          <w:trHeight w:val="320"/>
          <w:jc w:val="center"/>
        </w:trPr>
        <w:tc>
          <w:tcPr>
            <w:tcW w:w="0" w:type="auto"/>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bookmarkStart w:id="0" w:name="_Hlk145521029"/>
            <w:r w:rsidRPr="00435BC3">
              <w:rPr>
                <w:rFonts w:asciiTheme="minorHAnsi" w:eastAsia="Times New Roman" w:hAnsiTheme="minorHAnsi" w:cstheme="minorHAnsi"/>
                <w:b/>
                <w:bCs/>
                <w:color w:val="000000"/>
                <w:szCs w:val="24"/>
              </w:rPr>
              <w:t xml:space="preserve">Consumer Category </w:t>
            </w:r>
          </w:p>
        </w:tc>
        <w:tc>
          <w:tcPr>
            <w:tcW w:w="0" w:type="auto"/>
            <w:tcBorders>
              <w:top w:val="single" w:sz="8" w:space="0" w:color="auto"/>
              <w:left w:val="nil"/>
              <w:bottom w:val="nil"/>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 Filed (MU)</w:t>
            </w:r>
          </w:p>
        </w:tc>
        <w:tc>
          <w:tcPr>
            <w:tcW w:w="0" w:type="auto"/>
            <w:tcBorders>
              <w:top w:val="single" w:sz="8" w:space="0" w:color="auto"/>
              <w:left w:val="nil"/>
              <w:bottom w:val="nil"/>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 Actual (MU)</w:t>
            </w:r>
          </w:p>
        </w:tc>
        <w:tc>
          <w:tcPr>
            <w:tcW w:w="0" w:type="auto"/>
            <w:tcBorders>
              <w:top w:val="single" w:sz="8" w:space="0" w:color="auto"/>
              <w:left w:val="nil"/>
              <w:bottom w:val="nil"/>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 Variance </w:t>
            </w:r>
          </w:p>
        </w:tc>
      </w:tr>
      <w:tr w:rsidR="00FB56AC" w:rsidRPr="00435BC3" w:rsidTr="00346E72">
        <w:trPr>
          <w:trHeight w:val="320"/>
          <w:jc w:val="center"/>
        </w:trPr>
        <w:tc>
          <w:tcPr>
            <w:tcW w:w="0" w:type="auto"/>
            <w:tcBorders>
              <w:top w:val="nil"/>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LT Category</w:t>
            </w:r>
          </w:p>
        </w:tc>
        <w:tc>
          <w:tcPr>
            <w:tcW w:w="0" w:type="auto"/>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12065</w:t>
            </w:r>
          </w:p>
        </w:tc>
        <w:tc>
          <w:tcPr>
            <w:tcW w:w="0" w:type="auto"/>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12065</w:t>
            </w:r>
          </w:p>
        </w:tc>
        <w:tc>
          <w:tcPr>
            <w:tcW w:w="0" w:type="auto"/>
            <w:tcBorders>
              <w:top w:val="single" w:sz="8" w:space="0" w:color="auto"/>
              <w:left w:val="single" w:sz="8" w:space="0" w:color="auto"/>
              <w:bottom w:val="single" w:sz="8" w:space="0" w:color="auto"/>
              <w:right w:val="single" w:sz="8"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I - Domestic </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3547</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3547</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II - Non-domestic/Commercial </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758</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758</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Category III - Industr</w:t>
            </w:r>
            <w:r>
              <w:rPr>
                <w:rFonts w:asciiTheme="minorHAnsi" w:eastAsia="Times New Roman" w:hAnsiTheme="minorHAnsi" w:cstheme="minorHAnsi"/>
                <w:szCs w:val="24"/>
              </w:rPr>
              <w:t>y</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244</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244</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IV - Cottage Industries </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V - Agriculture </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7140</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7140</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VI - St. Lighting &amp; PWS </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308</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308</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VII - General </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60</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60</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VIII-Temporary Supply </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20"/>
          <w:jc w:val="center"/>
        </w:trPr>
        <w:tc>
          <w:tcPr>
            <w:tcW w:w="0" w:type="auto"/>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HIGH TENSION</w:t>
            </w:r>
          </w:p>
        </w:tc>
        <w:tc>
          <w:tcPr>
            <w:tcW w:w="0" w:type="auto"/>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6548</w:t>
            </w:r>
          </w:p>
        </w:tc>
        <w:tc>
          <w:tcPr>
            <w:tcW w:w="0" w:type="auto"/>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6548</w:t>
            </w:r>
          </w:p>
        </w:tc>
        <w:tc>
          <w:tcPr>
            <w:tcW w:w="0" w:type="auto"/>
            <w:tcBorders>
              <w:top w:val="single" w:sz="8" w:space="0" w:color="auto"/>
              <w:left w:val="single" w:sz="8" w:space="0" w:color="auto"/>
              <w:bottom w:val="single" w:sz="8" w:space="0" w:color="auto"/>
              <w:right w:val="single" w:sz="8"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bookmarkStart w:id="1" w:name="_Hlk145520895"/>
            <w:r w:rsidRPr="00435BC3">
              <w:rPr>
                <w:rFonts w:asciiTheme="minorHAnsi" w:eastAsia="Times New Roman" w:hAnsiTheme="minorHAnsi" w:cstheme="minorHAnsi"/>
                <w:szCs w:val="24"/>
              </w:rPr>
              <w:t>HT-I</w:t>
            </w:r>
            <w:r>
              <w:rPr>
                <w:rFonts w:asciiTheme="minorHAnsi" w:eastAsia="Times New Roman" w:hAnsiTheme="minorHAnsi" w:cstheme="minorHAnsi"/>
                <w:szCs w:val="24"/>
              </w:rPr>
              <w:t xml:space="preserve">: </w:t>
            </w:r>
            <w:r w:rsidRPr="00435BC3">
              <w:rPr>
                <w:rFonts w:asciiTheme="minorHAnsi" w:eastAsia="Times New Roman" w:hAnsiTheme="minorHAnsi" w:cstheme="minorHAnsi"/>
                <w:szCs w:val="24"/>
              </w:rPr>
              <w:t xml:space="preserve">Industry </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1851</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1851</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HT-II</w:t>
            </w:r>
            <w:r>
              <w:rPr>
                <w:rFonts w:asciiTheme="minorHAnsi" w:eastAsia="Times New Roman" w:hAnsiTheme="minorHAnsi" w:cstheme="minorHAnsi"/>
                <w:szCs w:val="24"/>
              </w:rPr>
              <w:t xml:space="preserve"> :</w:t>
            </w:r>
            <w:r w:rsidRPr="00435BC3">
              <w:rPr>
                <w:rFonts w:asciiTheme="minorHAnsi" w:eastAsia="Times New Roman" w:hAnsiTheme="minorHAnsi" w:cstheme="minorHAnsi"/>
                <w:szCs w:val="24"/>
              </w:rPr>
              <w:t xml:space="preserve"> Others </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154</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154</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HT-III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Airports, Bus Stations and Railway Stations</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 -IV</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Irrigation </w:t>
            </w:r>
            <w:r>
              <w:rPr>
                <w:rFonts w:asciiTheme="minorHAnsi" w:eastAsia="Times New Roman" w:hAnsiTheme="minorHAnsi" w:cstheme="minorHAnsi"/>
                <w:szCs w:val="24"/>
              </w:rPr>
              <w:t xml:space="preserve">&amp; Agriculture and </w:t>
            </w:r>
            <w:r w:rsidRPr="00435BC3">
              <w:rPr>
                <w:rFonts w:asciiTheme="minorHAnsi" w:eastAsia="Times New Roman" w:hAnsiTheme="minorHAnsi" w:cstheme="minorHAnsi"/>
                <w:szCs w:val="24"/>
              </w:rPr>
              <w:t>CPWS</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3019</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3019</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HT-V</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Railway Traction </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447</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447</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nil"/>
              <w:left w:val="single" w:sz="8" w:space="0" w:color="auto"/>
              <w:bottom w:val="single" w:sz="4" w:space="0" w:color="auto"/>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HT-VI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Townships and Residential Colonies</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152</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152</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nil"/>
              <w:left w:val="single" w:sz="8" w:space="0" w:color="auto"/>
              <w:bottom w:val="nil"/>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HT-VII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Temporary </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48</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48</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single" w:sz="4" w:space="0" w:color="auto"/>
              <w:left w:val="single" w:sz="8" w:space="0" w:color="auto"/>
              <w:bottom w:val="nil"/>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Pr>
                <w:rFonts w:asciiTheme="minorHAnsi" w:eastAsia="Times New Roman" w:hAnsiTheme="minorHAnsi" w:cstheme="minorHAnsi"/>
                <w:szCs w:val="24"/>
              </w:rPr>
              <w:t xml:space="preserve">HT VIII: </w:t>
            </w:r>
            <w:r w:rsidRPr="00435BC3">
              <w:rPr>
                <w:rFonts w:asciiTheme="minorHAnsi" w:eastAsia="Times New Roman" w:hAnsiTheme="minorHAnsi" w:cstheme="minorHAnsi"/>
                <w:szCs w:val="24"/>
              </w:rPr>
              <w:t>RESCOs</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869</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w:t>
            </w:r>
            <w:r>
              <w:rPr>
                <w:rFonts w:asciiTheme="minorHAnsi" w:eastAsia="Times New Roman" w:hAnsiTheme="minorHAnsi" w:cstheme="minorHAnsi"/>
                <w:color w:val="000000"/>
                <w:szCs w:val="24"/>
              </w:rPr>
              <w:t>69</w:t>
            </w:r>
          </w:p>
        </w:tc>
        <w:tc>
          <w:tcPr>
            <w:tcW w:w="0" w:type="auto"/>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w:t>
            </w:r>
          </w:p>
        </w:tc>
      </w:tr>
      <w:tr w:rsidR="00FB56AC" w:rsidRPr="00435BC3" w:rsidTr="00346E72">
        <w:trPr>
          <w:trHeight w:val="310"/>
          <w:jc w:val="center"/>
        </w:trPr>
        <w:tc>
          <w:tcPr>
            <w:tcW w:w="0" w:type="auto"/>
            <w:tcBorders>
              <w:top w:val="single" w:sz="4" w:space="0" w:color="auto"/>
              <w:left w:val="single" w:sz="8" w:space="0" w:color="auto"/>
              <w:bottom w:val="nil"/>
              <w:right w:val="nil"/>
            </w:tcBorders>
            <w:shd w:val="clear" w:color="auto" w:fill="auto"/>
            <w:noWrap/>
            <w:vAlign w:val="bottom"/>
          </w:tcPr>
          <w:p w:rsidR="00FB56AC"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HT-IX</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EV</w:t>
            </w:r>
            <w:r>
              <w:rPr>
                <w:rFonts w:asciiTheme="minorHAnsi" w:eastAsia="Times New Roman" w:hAnsiTheme="minorHAnsi" w:cstheme="minorHAnsi"/>
                <w:szCs w:val="24"/>
              </w:rPr>
              <w:t xml:space="preserve"> Charging Station</w:t>
            </w:r>
          </w:p>
        </w:tc>
        <w:tc>
          <w:tcPr>
            <w:tcW w:w="0" w:type="auto"/>
            <w:tcBorders>
              <w:top w:val="nil"/>
              <w:left w:val="single" w:sz="8" w:space="0" w:color="auto"/>
              <w:bottom w:val="single" w:sz="4" w:space="0" w:color="auto"/>
              <w:right w:val="single" w:sz="8" w:space="0" w:color="auto"/>
            </w:tcBorders>
            <w:shd w:val="clear" w:color="auto" w:fill="auto"/>
            <w:noWrap/>
            <w:vAlign w:val="center"/>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w:t>
            </w:r>
          </w:p>
        </w:tc>
        <w:tc>
          <w:tcPr>
            <w:tcW w:w="0" w:type="auto"/>
            <w:tcBorders>
              <w:top w:val="nil"/>
              <w:left w:val="nil"/>
              <w:bottom w:val="single" w:sz="4" w:space="0" w:color="auto"/>
              <w:right w:val="single" w:sz="8" w:space="0" w:color="auto"/>
            </w:tcBorders>
            <w:shd w:val="clear" w:color="auto" w:fill="auto"/>
            <w:noWrap/>
            <w:vAlign w:val="center"/>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c>
          <w:tcPr>
            <w:tcW w:w="0" w:type="auto"/>
            <w:tcBorders>
              <w:top w:val="nil"/>
              <w:left w:val="nil"/>
              <w:bottom w:val="single" w:sz="4" w:space="0" w:color="auto"/>
              <w:right w:val="single" w:sz="8" w:space="0" w:color="auto"/>
            </w:tcBorders>
            <w:shd w:val="clear" w:color="auto" w:fill="auto"/>
            <w:noWrap/>
            <w:vAlign w:val="center"/>
          </w:tcPr>
          <w:p w:rsidR="00FB56AC" w:rsidRDefault="00FB56AC" w:rsidP="00346E72">
            <w:pPr>
              <w:spacing w:after="0" w:line="240" w:lineRule="auto"/>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w:t>
            </w:r>
          </w:p>
        </w:tc>
      </w:tr>
      <w:bookmarkEnd w:id="1"/>
      <w:tr w:rsidR="00FB56AC" w:rsidRPr="00435BC3" w:rsidTr="00346E72">
        <w:trPr>
          <w:trHeight w:val="320"/>
          <w:jc w:val="center"/>
        </w:trPr>
        <w:tc>
          <w:tcPr>
            <w:tcW w:w="0" w:type="auto"/>
            <w:tcBorders>
              <w:top w:val="nil"/>
              <w:left w:val="single" w:sz="8" w:space="0" w:color="auto"/>
              <w:bottom w:val="single" w:sz="8" w:space="0" w:color="auto"/>
              <w:right w:val="nil"/>
            </w:tcBorders>
            <w:shd w:val="clear" w:color="000000" w:fill="AEAAAA"/>
            <w:noWrap/>
            <w:vAlign w:val="center"/>
            <w:hideMark/>
          </w:tcPr>
          <w:p w:rsidR="00FB56AC" w:rsidRPr="00435BC3" w:rsidRDefault="00FB56AC" w:rsidP="00346E72">
            <w:pPr>
              <w:spacing w:after="0" w:line="240" w:lineRule="auto"/>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TOTAL( LT + HT)</w:t>
            </w:r>
          </w:p>
        </w:tc>
        <w:tc>
          <w:tcPr>
            <w:tcW w:w="0" w:type="auto"/>
            <w:tcBorders>
              <w:top w:val="nil"/>
              <w:left w:val="single" w:sz="8" w:space="0" w:color="auto"/>
              <w:bottom w:val="single" w:sz="8" w:space="0" w:color="auto"/>
              <w:right w:val="single" w:sz="8" w:space="0" w:color="auto"/>
            </w:tcBorders>
            <w:shd w:val="clear" w:color="000000" w:fill="AEAAAA"/>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18612</w:t>
            </w:r>
          </w:p>
        </w:tc>
        <w:tc>
          <w:tcPr>
            <w:tcW w:w="0" w:type="auto"/>
            <w:tcBorders>
              <w:top w:val="nil"/>
              <w:left w:val="nil"/>
              <w:bottom w:val="single" w:sz="8" w:space="0" w:color="auto"/>
              <w:right w:val="single" w:sz="8" w:space="0" w:color="auto"/>
            </w:tcBorders>
            <w:shd w:val="clear" w:color="000000" w:fill="AEAAAA"/>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18612</w:t>
            </w:r>
          </w:p>
        </w:tc>
        <w:tc>
          <w:tcPr>
            <w:tcW w:w="0" w:type="auto"/>
            <w:tcBorders>
              <w:top w:val="nil"/>
              <w:left w:val="nil"/>
              <w:bottom w:val="single" w:sz="8" w:space="0" w:color="auto"/>
              <w:right w:val="single" w:sz="8" w:space="0" w:color="auto"/>
            </w:tcBorders>
            <w:shd w:val="clear" w:color="000000" w:fill="AEAAAA"/>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0</w:t>
            </w:r>
          </w:p>
        </w:tc>
      </w:tr>
      <w:bookmarkEnd w:id="0"/>
    </w:tbl>
    <w:p w:rsidR="00976D04" w:rsidRPr="00435BC3" w:rsidRDefault="00976D04" w:rsidP="00693AD4">
      <w:pPr>
        <w:jc w:val="both"/>
        <w:rPr>
          <w:rFonts w:asciiTheme="minorHAnsi" w:hAnsiTheme="minorHAnsi" w:cstheme="minorHAnsi"/>
          <w:b/>
          <w:bCs/>
          <w:u w:val="single"/>
        </w:rPr>
      </w:pPr>
    </w:p>
    <w:p w:rsidR="00924CD4" w:rsidRPr="00435BC3" w:rsidRDefault="00924CD4" w:rsidP="00693AD4">
      <w:pPr>
        <w:jc w:val="both"/>
        <w:rPr>
          <w:rFonts w:asciiTheme="minorHAnsi" w:hAnsiTheme="minorHAnsi" w:cstheme="minorHAnsi"/>
          <w:b/>
          <w:bCs/>
          <w:u w:val="single"/>
        </w:rPr>
      </w:pPr>
      <w:r w:rsidRPr="00435BC3">
        <w:rPr>
          <w:rFonts w:asciiTheme="minorHAnsi" w:hAnsiTheme="minorHAnsi" w:cstheme="minorHAnsi"/>
          <w:b/>
          <w:bCs/>
          <w:u w:val="single"/>
        </w:rPr>
        <w:t>FY 2020-21</w:t>
      </w:r>
    </w:p>
    <w:p w:rsidR="006539E3" w:rsidRPr="00435BC3" w:rsidRDefault="006539E3" w:rsidP="00693AD4">
      <w:pPr>
        <w:jc w:val="both"/>
        <w:rPr>
          <w:rFonts w:asciiTheme="minorHAnsi" w:hAnsiTheme="minorHAnsi" w:cstheme="minorHAnsi"/>
          <w:u w:val="single"/>
        </w:rPr>
      </w:pPr>
      <w:r w:rsidRPr="00435BC3">
        <w:rPr>
          <w:rFonts w:asciiTheme="minorHAnsi" w:hAnsiTheme="minorHAnsi" w:cstheme="minorHAnsi"/>
          <w:u w:val="single"/>
        </w:rPr>
        <w:t>TSSPDCL</w:t>
      </w:r>
    </w:p>
    <w:p w:rsidR="00254B81" w:rsidRPr="00435BC3" w:rsidRDefault="00254B81" w:rsidP="00254B81">
      <w:pPr>
        <w:spacing w:after="0"/>
        <w:jc w:val="right"/>
        <w:rPr>
          <w:rFonts w:asciiTheme="minorHAnsi" w:hAnsiTheme="minorHAnsi" w:cstheme="minorHAnsi"/>
        </w:rPr>
      </w:pPr>
      <w:r w:rsidRPr="00435BC3">
        <w:rPr>
          <w:rFonts w:asciiTheme="minorHAnsi" w:hAnsiTheme="minorHAnsi" w:cstheme="minorHAnsi"/>
        </w:rPr>
        <w:t>Figures in MU</w:t>
      </w:r>
    </w:p>
    <w:tbl>
      <w:tblPr>
        <w:tblW w:w="8069" w:type="dxa"/>
        <w:jc w:val="center"/>
        <w:tblLook w:val="04A0"/>
      </w:tblPr>
      <w:tblGrid>
        <w:gridCol w:w="4769"/>
        <w:gridCol w:w="1080"/>
        <w:gridCol w:w="1080"/>
        <w:gridCol w:w="1140"/>
      </w:tblGrid>
      <w:tr w:rsidR="00FB56AC" w:rsidRPr="00435BC3" w:rsidTr="00346E72">
        <w:trPr>
          <w:trHeight w:val="320"/>
          <w:tblHeader/>
          <w:jc w:val="center"/>
        </w:trPr>
        <w:tc>
          <w:tcPr>
            <w:tcW w:w="476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Consumer Category </w:t>
            </w:r>
          </w:p>
        </w:tc>
        <w:tc>
          <w:tcPr>
            <w:tcW w:w="1080" w:type="dxa"/>
            <w:tcBorders>
              <w:top w:val="single" w:sz="4" w:space="0" w:color="auto"/>
              <w:left w:val="nil"/>
              <w:bottom w:val="single" w:sz="4" w:space="0" w:color="auto"/>
              <w:right w:val="single" w:sz="4"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Filed (MU)</w:t>
            </w:r>
          </w:p>
        </w:tc>
        <w:tc>
          <w:tcPr>
            <w:tcW w:w="1080" w:type="dxa"/>
            <w:tcBorders>
              <w:top w:val="single" w:sz="4" w:space="0" w:color="auto"/>
              <w:left w:val="nil"/>
              <w:bottom w:val="single" w:sz="4" w:space="0" w:color="auto"/>
              <w:right w:val="single" w:sz="4"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Actual</w:t>
            </w:r>
          </w:p>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(MU)</w:t>
            </w:r>
          </w:p>
        </w:tc>
        <w:tc>
          <w:tcPr>
            <w:tcW w:w="1140" w:type="dxa"/>
            <w:tcBorders>
              <w:top w:val="single" w:sz="4" w:space="0" w:color="auto"/>
              <w:left w:val="nil"/>
              <w:bottom w:val="single" w:sz="4" w:space="0" w:color="auto"/>
              <w:right w:val="single" w:sz="4"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Variance</w:t>
            </w:r>
          </w:p>
        </w:tc>
      </w:tr>
      <w:tr w:rsidR="00FB56AC" w:rsidRPr="00435BC3" w:rsidTr="00346E72">
        <w:trPr>
          <w:trHeight w:val="320"/>
          <w:jc w:val="center"/>
        </w:trPr>
        <w:tc>
          <w:tcPr>
            <w:tcW w:w="4769" w:type="dxa"/>
            <w:tcBorders>
              <w:top w:val="nil"/>
              <w:left w:val="single" w:sz="4" w:space="0" w:color="auto"/>
              <w:bottom w:val="single" w:sz="4" w:space="0" w:color="auto"/>
              <w:right w:val="single" w:sz="4" w:space="0" w:color="auto"/>
            </w:tcBorders>
            <w:shd w:val="clear" w:color="000000" w:fill="CCFFCC"/>
            <w:noWrap/>
            <w:vAlign w:val="center"/>
            <w:hideMark/>
          </w:tcPr>
          <w:p w:rsidR="00FB56AC" w:rsidRPr="00435BC3" w:rsidRDefault="00FB56AC" w:rsidP="00346E72">
            <w:pPr>
              <w:spacing w:after="0" w:line="240" w:lineRule="auto"/>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LT Category</w:t>
            </w:r>
          </w:p>
        </w:tc>
        <w:tc>
          <w:tcPr>
            <w:tcW w:w="1080" w:type="dxa"/>
            <w:tcBorders>
              <w:top w:val="nil"/>
              <w:left w:val="nil"/>
              <w:bottom w:val="single" w:sz="4" w:space="0" w:color="auto"/>
              <w:right w:val="single" w:sz="4"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22110</w:t>
            </w:r>
          </w:p>
        </w:tc>
        <w:tc>
          <w:tcPr>
            <w:tcW w:w="1080" w:type="dxa"/>
            <w:tcBorders>
              <w:top w:val="nil"/>
              <w:left w:val="nil"/>
              <w:bottom w:val="single" w:sz="4" w:space="0" w:color="auto"/>
              <w:right w:val="single" w:sz="4"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24286</w:t>
            </w:r>
          </w:p>
        </w:tc>
        <w:tc>
          <w:tcPr>
            <w:tcW w:w="1140" w:type="dxa"/>
            <w:tcBorders>
              <w:top w:val="nil"/>
              <w:left w:val="nil"/>
              <w:bottom w:val="single" w:sz="4" w:space="0" w:color="auto"/>
              <w:right w:val="single" w:sz="4"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-2177</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I - Domestic </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9079</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8912</w:t>
            </w:r>
          </w:p>
        </w:tc>
        <w:tc>
          <w:tcPr>
            <w:tcW w:w="114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167</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II - Non-domestic/Commercial </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2237</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2161</w:t>
            </w:r>
          </w:p>
        </w:tc>
        <w:tc>
          <w:tcPr>
            <w:tcW w:w="114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76</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III - Industr</w:t>
            </w:r>
            <w:r>
              <w:rPr>
                <w:rFonts w:asciiTheme="minorHAnsi" w:eastAsia="Times New Roman" w:hAnsiTheme="minorHAnsi" w:cstheme="minorHAnsi"/>
                <w:szCs w:val="24"/>
              </w:rPr>
              <w:t>y</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828</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880</w:t>
            </w:r>
          </w:p>
        </w:tc>
        <w:tc>
          <w:tcPr>
            <w:tcW w:w="114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-52</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IV - Cottage Industries</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10</w:t>
            </w:r>
          </w:p>
        </w:tc>
        <w:tc>
          <w:tcPr>
            <w:tcW w:w="114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V - Agriculture </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9355</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11745</w:t>
            </w:r>
          </w:p>
        </w:tc>
        <w:tc>
          <w:tcPr>
            <w:tcW w:w="114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-2390</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VI - St. Lighting &amp; PWS </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498</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478</w:t>
            </w:r>
          </w:p>
        </w:tc>
        <w:tc>
          <w:tcPr>
            <w:tcW w:w="114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19</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VII - General </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59</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48</w:t>
            </w:r>
          </w:p>
        </w:tc>
        <w:tc>
          <w:tcPr>
            <w:tcW w:w="114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12</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VIII-Temporary Supply </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44</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53</w:t>
            </w:r>
          </w:p>
        </w:tc>
        <w:tc>
          <w:tcPr>
            <w:tcW w:w="114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lastRenderedPageBreak/>
              <w:t xml:space="preserve"> Category IX- </w:t>
            </w:r>
            <w:proofErr w:type="spellStart"/>
            <w:r w:rsidRPr="00435BC3">
              <w:rPr>
                <w:rFonts w:asciiTheme="minorHAnsi" w:eastAsia="Times New Roman" w:hAnsiTheme="minorHAnsi" w:cstheme="minorHAnsi"/>
                <w:szCs w:val="24"/>
              </w:rPr>
              <w:t>Evs</w:t>
            </w:r>
            <w:proofErr w:type="spellEnd"/>
            <w:r w:rsidRPr="00435BC3">
              <w:rPr>
                <w:rFonts w:asciiTheme="minorHAnsi" w:eastAsia="Times New Roman" w:hAnsiTheme="minorHAnsi" w:cstheme="minorHAnsi"/>
                <w:szCs w:val="24"/>
              </w:rPr>
              <w:t xml:space="preserve"> </w:t>
            </w:r>
            <w:r>
              <w:rPr>
                <w:rFonts w:asciiTheme="minorHAnsi" w:eastAsia="Times New Roman" w:hAnsiTheme="minorHAnsi" w:cstheme="minorHAnsi"/>
                <w:szCs w:val="24"/>
              </w:rPr>
              <w:t>Charging Stations</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c>
          <w:tcPr>
            <w:tcW w:w="108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c>
          <w:tcPr>
            <w:tcW w:w="1140" w:type="dxa"/>
            <w:tcBorders>
              <w:top w:val="nil"/>
              <w:left w:val="nil"/>
              <w:bottom w:val="single" w:sz="4" w:space="0" w:color="auto"/>
              <w:right w:val="single" w:sz="4"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20"/>
          <w:jc w:val="center"/>
        </w:trPr>
        <w:tc>
          <w:tcPr>
            <w:tcW w:w="4769" w:type="dxa"/>
            <w:tcBorders>
              <w:top w:val="nil"/>
              <w:left w:val="single" w:sz="4" w:space="0" w:color="auto"/>
              <w:bottom w:val="single" w:sz="4" w:space="0" w:color="auto"/>
              <w:right w:val="single" w:sz="4" w:space="0" w:color="auto"/>
            </w:tcBorders>
            <w:shd w:val="clear" w:color="000000" w:fill="CCFFCC"/>
            <w:noWrap/>
            <w:vAlign w:val="center"/>
            <w:hideMark/>
          </w:tcPr>
          <w:p w:rsidR="00FB56AC" w:rsidRPr="00435BC3" w:rsidRDefault="00FB56AC" w:rsidP="00346E72">
            <w:pPr>
              <w:spacing w:after="0" w:line="240" w:lineRule="auto"/>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HIGH TENSION</w:t>
            </w:r>
          </w:p>
        </w:tc>
        <w:tc>
          <w:tcPr>
            <w:tcW w:w="1080" w:type="dxa"/>
            <w:tcBorders>
              <w:top w:val="nil"/>
              <w:left w:val="nil"/>
              <w:bottom w:val="single" w:sz="4" w:space="0" w:color="auto"/>
              <w:right w:val="single" w:sz="4"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14680</w:t>
            </w:r>
          </w:p>
        </w:tc>
        <w:tc>
          <w:tcPr>
            <w:tcW w:w="1080" w:type="dxa"/>
            <w:tcBorders>
              <w:top w:val="nil"/>
              <w:left w:val="nil"/>
              <w:bottom w:val="single" w:sz="4" w:space="0" w:color="auto"/>
              <w:right w:val="single" w:sz="4"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13987</w:t>
            </w:r>
          </w:p>
        </w:tc>
        <w:tc>
          <w:tcPr>
            <w:tcW w:w="1140" w:type="dxa"/>
            <w:tcBorders>
              <w:top w:val="nil"/>
              <w:left w:val="nil"/>
              <w:bottom w:val="single" w:sz="4" w:space="0" w:color="auto"/>
              <w:right w:val="single" w:sz="4"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-693</w:t>
            </w:r>
          </w:p>
        </w:tc>
      </w:tr>
      <w:tr w:rsidR="00FB56AC" w:rsidRPr="00435BC3" w:rsidTr="00346E72">
        <w:trPr>
          <w:trHeight w:val="32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 Ind</w:t>
            </w:r>
            <w:r>
              <w:rPr>
                <w:rFonts w:asciiTheme="minorHAnsi" w:eastAsia="Times New Roman" w:hAnsiTheme="minorHAnsi" w:cstheme="minorHAnsi"/>
                <w:szCs w:val="24"/>
              </w:rPr>
              <w:t>ustry</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9223</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8444</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-779</w:t>
            </w:r>
          </w:p>
        </w:tc>
      </w:tr>
      <w:tr w:rsidR="00FB56AC" w:rsidRPr="00435BC3" w:rsidTr="00346E72">
        <w:trPr>
          <w:trHeight w:val="32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HT -I B Ferro-alloys </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129</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130</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HMWSSB </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830</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830</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HT-II - Others </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2110</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1845</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-265</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HT-III Airports, Bus Stations and Railway Stations</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72</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53</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-20</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HT -IV A Irrigation </w:t>
            </w:r>
            <w:r>
              <w:rPr>
                <w:rFonts w:asciiTheme="minorHAnsi" w:eastAsia="Times New Roman" w:hAnsiTheme="minorHAnsi" w:cstheme="minorHAnsi"/>
                <w:szCs w:val="24"/>
              </w:rPr>
              <w:t>&amp; Agriculture</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2092</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1617</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-474</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HT-IV B CPW</w:t>
            </w:r>
            <w:r>
              <w:rPr>
                <w:rFonts w:asciiTheme="minorHAnsi" w:eastAsia="Times New Roman" w:hAnsiTheme="minorHAnsi" w:cstheme="minorHAnsi"/>
                <w:szCs w:val="24"/>
              </w:rPr>
              <w:t xml:space="preserve"> Schemes</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517</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512</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-5</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HT-V Railway Traction (including HMR)</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211</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192</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-19</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HT-VI Townships and Residential Colonies</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207</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261</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54</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HT-VII Temporary </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118</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103</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-15</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Pr>
                <w:rFonts w:asciiTheme="minorHAnsi" w:eastAsia="Times New Roman" w:hAnsiTheme="minorHAnsi" w:cstheme="minorHAnsi"/>
                <w:szCs w:val="24"/>
              </w:rPr>
              <w:t xml:space="preserve">HT-VIII </w:t>
            </w:r>
            <w:r w:rsidRPr="00435BC3">
              <w:rPr>
                <w:rFonts w:asciiTheme="minorHAnsi" w:eastAsia="Times New Roman" w:hAnsiTheme="minorHAnsi" w:cstheme="minorHAnsi"/>
                <w:szCs w:val="24"/>
              </w:rPr>
              <w:t xml:space="preserve">RESCO </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HT-IX EVs</w:t>
            </w:r>
            <w:r>
              <w:rPr>
                <w:rFonts w:asciiTheme="minorHAnsi" w:eastAsia="Times New Roman" w:hAnsiTheme="minorHAnsi" w:cstheme="minorHAnsi"/>
                <w:szCs w:val="24"/>
              </w:rPr>
              <w:t xml:space="preserve"> Charging Station</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w:t>
            </w:r>
          </w:p>
        </w:tc>
      </w:tr>
      <w:tr w:rsidR="00FB56AC" w:rsidRPr="00435BC3" w:rsidTr="00346E72">
        <w:trPr>
          <w:trHeight w:val="320"/>
          <w:jc w:val="center"/>
        </w:trPr>
        <w:tc>
          <w:tcPr>
            <w:tcW w:w="4769" w:type="dxa"/>
            <w:tcBorders>
              <w:top w:val="nil"/>
              <w:left w:val="single" w:sz="4" w:space="0" w:color="auto"/>
              <w:bottom w:val="single" w:sz="4" w:space="0" w:color="auto"/>
              <w:right w:val="single" w:sz="4" w:space="0" w:color="auto"/>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 Total (HT+LT) </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36790</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38273</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1483</w:t>
            </w:r>
          </w:p>
        </w:tc>
      </w:tr>
    </w:tbl>
    <w:p w:rsidR="00CB79BF" w:rsidRPr="00435BC3" w:rsidRDefault="00CB79BF" w:rsidP="00CB79BF">
      <w:pPr>
        <w:jc w:val="both"/>
        <w:rPr>
          <w:rFonts w:asciiTheme="minorHAnsi" w:hAnsiTheme="minorHAnsi" w:cstheme="minorHAnsi"/>
          <w:u w:val="single"/>
        </w:rPr>
      </w:pPr>
    </w:p>
    <w:p w:rsidR="00CB79BF" w:rsidRPr="00435BC3" w:rsidRDefault="00CB79BF" w:rsidP="00CB79BF">
      <w:pPr>
        <w:jc w:val="both"/>
        <w:rPr>
          <w:rFonts w:asciiTheme="minorHAnsi" w:hAnsiTheme="minorHAnsi" w:cstheme="minorHAnsi"/>
        </w:rPr>
      </w:pPr>
      <w:bookmarkStart w:id="2" w:name="_Hlk145075267"/>
      <w:r w:rsidRPr="00435BC3">
        <w:rPr>
          <w:rFonts w:asciiTheme="minorHAnsi" w:hAnsiTheme="minorHAnsi" w:cstheme="minorHAnsi"/>
        </w:rPr>
        <w:t>In the case of TSSPDCL, we can observe, actual LT sales were higher by 2177 MU’s than the claimed. For HT sales actual sales were lower by 693 MU than the quantum claimed at the time of filing of petition. In total actual sales were higher by 1483 MU’s than the projected sales.</w:t>
      </w:r>
    </w:p>
    <w:bookmarkEnd w:id="2"/>
    <w:p w:rsidR="00CB79BF" w:rsidRPr="00435BC3" w:rsidRDefault="00CB79BF" w:rsidP="00CB79BF">
      <w:pPr>
        <w:jc w:val="both"/>
        <w:rPr>
          <w:rFonts w:asciiTheme="minorHAnsi" w:hAnsiTheme="minorHAnsi" w:cstheme="minorHAnsi"/>
          <w:u w:val="single"/>
        </w:rPr>
      </w:pPr>
    </w:p>
    <w:p w:rsidR="00CB79BF" w:rsidRPr="00435BC3" w:rsidRDefault="00CB79BF" w:rsidP="00CB79BF">
      <w:pPr>
        <w:jc w:val="both"/>
        <w:rPr>
          <w:rFonts w:asciiTheme="minorHAnsi" w:hAnsiTheme="minorHAnsi" w:cstheme="minorHAnsi"/>
          <w:u w:val="single"/>
        </w:rPr>
      </w:pPr>
      <w:r w:rsidRPr="00435BC3">
        <w:rPr>
          <w:rFonts w:asciiTheme="minorHAnsi" w:hAnsiTheme="minorHAnsi" w:cstheme="minorHAnsi"/>
          <w:u w:val="single"/>
        </w:rPr>
        <w:t>TSNPDCL</w:t>
      </w:r>
    </w:p>
    <w:p w:rsidR="00254B81" w:rsidRPr="00435BC3" w:rsidRDefault="00254B81" w:rsidP="00254B81">
      <w:pPr>
        <w:spacing w:after="0"/>
        <w:jc w:val="right"/>
        <w:rPr>
          <w:rFonts w:asciiTheme="minorHAnsi" w:hAnsiTheme="minorHAnsi" w:cstheme="minorHAnsi"/>
        </w:rPr>
      </w:pPr>
      <w:r w:rsidRPr="00435BC3">
        <w:rPr>
          <w:rFonts w:asciiTheme="minorHAnsi" w:hAnsiTheme="minorHAnsi" w:cstheme="minorHAnsi"/>
        </w:rPr>
        <w:t>Figures in MU</w:t>
      </w:r>
    </w:p>
    <w:tbl>
      <w:tblPr>
        <w:tblW w:w="8069" w:type="dxa"/>
        <w:jc w:val="center"/>
        <w:tblLook w:val="04A0"/>
      </w:tblPr>
      <w:tblGrid>
        <w:gridCol w:w="4769"/>
        <w:gridCol w:w="1080"/>
        <w:gridCol w:w="1080"/>
        <w:gridCol w:w="1140"/>
      </w:tblGrid>
      <w:tr w:rsidR="00FB56AC" w:rsidRPr="00435BC3" w:rsidTr="00346E72">
        <w:trPr>
          <w:trHeight w:val="320"/>
          <w:tblHeader/>
          <w:jc w:val="center"/>
        </w:trPr>
        <w:tc>
          <w:tcPr>
            <w:tcW w:w="4769"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bookmarkStart w:id="3" w:name="_Hlk145075103"/>
            <w:r w:rsidRPr="00435BC3">
              <w:rPr>
                <w:rFonts w:asciiTheme="minorHAnsi" w:eastAsia="Times New Roman" w:hAnsiTheme="minorHAnsi" w:cstheme="minorHAnsi"/>
                <w:b/>
                <w:bCs/>
                <w:color w:val="000000"/>
                <w:szCs w:val="24"/>
              </w:rPr>
              <w:t xml:space="preserve">Consumer Category </w:t>
            </w:r>
          </w:p>
        </w:tc>
        <w:tc>
          <w:tcPr>
            <w:tcW w:w="1080" w:type="dxa"/>
            <w:tcBorders>
              <w:top w:val="single" w:sz="8" w:space="0" w:color="auto"/>
              <w:left w:val="nil"/>
              <w:bottom w:val="nil"/>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Filed</w:t>
            </w:r>
          </w:p>
        </w:tc>
        <w:tc>
          <w:tcPr>
            <w:tcW w:w="1080" w:type="dxa"/>
            <w:tcBorders>
              <w:top w:val="single" w:sz="8" w:space="0" w:color="auto"/>
              <w:left w:val="nil"/>
              <w:bottom w:val="nil"/>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Actual</w:t>
            </w:r>
          </w:p>
        </w:tc>
        <w:tc>
          <w:tcPr>
            <w:tcW w:w="1140" w:type="dxa"/>
            <w:tcBorders>
              <w:top w:val="single" w:sz="8" w:space="0" w:color="auto"/>
              <w:left w:val="nil"/>
              <w:bottom w:val="nil"/>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Variance</w:t>
            </w:r>
          </w:p>
        </w:tc>
      </w:tr>
      <w:tr w:rsidR="00FB56AC" w:rsidRPr="00435BC3" w:rsidTr="00346E72">
        <w:trPr>
          <w:trHeight w:val="320"/>
          <w:jc w:val="center"/>
        </w:trPr>
        <w:tc>
          <w:tcPr>
            <w:tcW w:w="4769" w:type="dxa"/>
            <w:tcBorders>
              <w:top w:val="nil"/>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LT Category</w:t>
            </w:r>
          </w:p>
        </w:tc>
        <w:tc>
          <w:tcPr>
            <w:tcW w:w="1080" w:type="dxa"/>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11927</w:t>
            </w:r>
          </w:p>
        </w:tc>
        <w:tc>
          <w:tcPr>
            <w:tcW w:w="1080" w:type="dxa"/>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12928</w:t>
            </w:r>
          </w:p>
        </w:tc>
        <w:tc>
          <w:tcPr>
            <w:tcW w:w="1140" w:type="dxa"/>
            <w:tcBorders>
              <w:top w:val="single" w:sz="8" w:space="0" w:color="auto"/>
              <w:left w:val="single" w:sz="8" w:space="0" w:color="auto"/>
              <w:bottom w:val="single" w:sz="8" w:space="0" w:color="auto"/>
              <w:right w:val="single" w:sz="8"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1001</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I - Domestic </w:t>
            </w:r>
          </w:p>
        </w:tc>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3849</w:t>
            </w:r>
          </w:p>
        </w:tc>
        <w:tc>
          <w:tcPr>
            <w:tcW w:w="10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3769</w:t>
            </w:r>
          </w:p>
        </w:tc>
        <w:tc>
          <w:tcPr>
            <w:tcW w:w="114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79</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II - Non-domestic/Commercial </w:t>
            </w:r>
          </w:p>
        </w:tc>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700</w:t>
            </w:r>
          </w:p>
        </w:tc>
        <w:tc>
          <w:tcPr>
            <w:tcW w:w="10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649</w:t>
            </w:r>
          </w:p>
        </w:tc>
        <w:tc>
          <w:tcPr>
            <w:tcW w:w="114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51</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III - Industr</w:t>
            </w:r>
            <w:r>
              <w:rPr>
                <w:rFonts w:asciiTheme="minorHAnsi" w:eastAsia="Times New Roman" w:hAnsiTheme="minorHAnsi" w:cstheme="minorHAnsi"/>
                <w:szCs w:val="24"/>
              </w:rPr>
              <w:t>y</w:t>
            </w:r>
          </w:p>
        </w:tc>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237</w:t>
            </w:r>
          </w:p>
        </w:tc>
        <w:tc>
          <w:tcPr>
            <w:tcW w:w="10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246</w:t>
            </w:r>
          </w:p>
        </w:tc>
        <w:tc>
          <w:tcPr>
            <w:tcW w:w="114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IV - Cottage Industries </w:t>
            </w:r>
          </w:p>
        </w:tc>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w:t>
            </w:r>
          </w:p>
        </w:tc>
        <w:tc>
          <w:tcPr>
            <w:tcW w:w="10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w:t>
            </w:r>
          </w:p>
        </w:tc>
        <w:tc>
          <w:tcPr>
            <w:tcW w:w="114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V - Agriculture </w:t>
            </w:r>
          </w:p>
        </w:tc>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6768</w:t>
            </w:r>
          </w:p>
        </w:tc>
        <w:tc>
          <w:tcPr>
            <w:tcW w:w="10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7904</w:t>
            </w:r>
          </w:p>
        </w:tc>
        <w:tc>
          <w:tcPr>
            <w:tcW w:w="114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-1136</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VI - St. Lighting &amp; PWS </w:t>
            </w:r>
          </w:p>
        </w:tc>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320</w:t>
            </w:r>
          </w:p>
        </w:tc>
        <w:tc>
          <w:tcPr>
            <w:tcW w:w="10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322</w:t>
            </w:r>
          </w:p>
        </w:tc>
        <w:tc>
          <w:tcPr>
            <w:tcW w:w="114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VII - General </w:t>
            </w:r>
          </w:p>
        </w:tc>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44</w:t>
            </w:r>
          </w:p>
        </w:tc>
        <w:tc>
          <w:tcPr>
            <w:tcW w:w="10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27</w:t>
            </w:r>
          </w:p>
        </w:tc>
        <w:tc>
          <w:tcPr>
            <w:tcW w:w="114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17</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Category VIII-Temporary Supply </w:t>
            </w:r>
          </w:p>
        </w:tc>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w:t>
            </w:r>
          </w:p>
        </w:tc>
        <w:tc>
          <w:tcPr>
            <w:tcW w:w="10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w:t>
            </w:r>
          </w:p>
        </w:tc>
        <w:tc>
          <w:tcPr>
            <w:tcW w:w="114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w:t>
            </w:r>
          </w:p>
        </w:tc>
      </w:tr>
      <w:tr w:rsidR="00FB56AC" w:rsidRPr="00435BC3" w:rsidTr="00346E72">
        <w:trPr>
          <w:trHeight w:val="320"/>
          <w:jc w:val="center"/>
        </w:trPr>
        <w:tc>
          <w:tcPr>
            <w:tcW w:w="4769" w:type="dxa"/>
            <w:tcBorders>
              <w:top w:val="nil"/>
              <w:left w:val="single" w:sz="4" w:space="0" w:color="auto"/>
              <w:bottom w:val="single" w:sz="4" w:space="0" w:color="auto"/>
              <w:right w:val="single" w:sz="4" w:space="0" w:color="auto"/>
            </w:tcBorders>
            <w:shd w:val="clear" w:color="000000" w:fill="CCFFCC"/>
            <w:noWrap/>
            <w:vAlign w:val="center"/>
            <w:hideMark/>
          </w:tcPr>
          <w:p w:rsidR="00FB56AC" w:rsidRPr="00435BC3" w:rsidRDefault="00FB56AC" w:rsidP="00346E72">
            <w:pPr>
              <w:spacing w:after="0" w:line="240" w:lineRule="auto"/>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HIGH TENSION</w:t>
            </w:r>
          </w:p>
        </w:tc>
        <w:tc>
          <w:tcPr>
            <w:tcW w:w="1080" w:type="dxa"/>
            <w:tcBorders>
              <w:top w:val="nil"/>
              <w:left w:val="nil"/>
              <w:bottom w:val="single" w:sz="4" w:space="0" w:color="auto"/>
              <w:right w:val="single" w:sz="4"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7395</w:t>
            </w:r>
          </w:p>
        </w:tc>
        <w:tc>
          <w:tcPr>
            <w:tcW w:w="1080" w:type="dxa"/>
            <w:tcBorders>
              <w:top w:val="nil"/>
              <w:left w:val="nil"/>
              <w:bottom w:val="single" w:sz="4" w:space="0" w:color="auto"/>
              <w:right w:val="single" w:sz="4"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5846</w:t>
            </w:r>
          </w:p>
        </w:tc>
        <w:tc>
          <w:tcPr>
            <w:tcW w:w="1140" w:type="dxa"/>
            <w:tcBorders>
              <w:top w:val="nil"/>
              <w:left w:val="nil"/>
              <w:bottom w:val="single" w:sz="4" w:space="0" w:color="auto"/>
              <w:right w:val="single" w:sz="4"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-1548</w:t>
            </w:r>
          </w:p>
        </w:tc>
      </w:tr>
      <w:tr w:rsidR="00FB56AC" w:rsidRPr="00435BC3" w:rsidTr="00346E72">
        <w:trPr>
          <w:trHeight w:val="32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HT-I In</w:t>
            </w:r>
            <w:r>
              <w:rPr>
                <w:rFonts w:asciiTheme="minorHAnsi" w:eastAsia="Times New Roman" w:hAnsiTheme="minorHAnsi" w:cstheme="minorHAnsi"/>
                <w:szCs w:val="24"/>
              </w:rPr>
              <w:t>dustry</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1694</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1767</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72</w:t>
            </w:r>
          </w:p>
        </w:tc>
      </w:tr>
      <w:tr w:rsidR="00FB56AC" w:rsidRPr="00435BC3" w:rsidTr="00346E72">
        <w:trPr>
          <w:trHeight w:val="32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 HT - I B Ferro-alloys </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36</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37</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lastRenderedPageBreak/>
              <w:t xml:space="preserve"> HT-II - Others </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125</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115</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-10</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HT-III Airports, Bus Stations and Railway Stations</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6</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HT -IV A Irrigation </w:t>
            </w:r>
            <w:r>
              <w:rPr>
                <w:rFonts w:asciiTheme="minorHAnsi" w:eastAsia="Times New Roman" w:hAnsiTheme="minorHAnsi" w:cstheme="minorHAnsi"/>
                <w:szCs w:val="24"/>
              </w:rPr>
              <w:t>&amp; Agriculture</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3718</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1958</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-1760</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HT-IV B CPW</w:t>
            </w:r>
            <w:r>
              <w:rPr>
                <w:rFonts w:asciiTheme="minorHAnsi" w:eastAsia="Times New Roman" w:hAnsiTheme="minorHAnsi" w:cstheme="minorHAnsi"/>
                <w:szCs w:val="24"/>
              </w:rPr>
              <w:t xml:space="preserve"> Schemes</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406</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449</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43</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HT-V Railway Traction </w:t>
            </w:r>
          </w:p>
        </w:tc>
        <w:tc>
          <w:tcPr>
            <w:tcW w:w="1080" w:type="dxa"/>
            <w:tcBorders>
              <w:top w:val="nil"/>
              <w:left w:val="nil"/>
              <w:bottom w:val="single" w:sz="4" w:space="0" w:color="auto"/>
              <w:right w:val="single" w:sz="4" w:space="0" w:color="auto"/>
            </w:tcBorders>
            <w:shd w:val="clear" w:color="auto" w:fill="auto"/>
            <w:noWrap/>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277</w:t>
            </w:r>
          </w:p>
        </w:tc>
        <w:tc>
          <w:tcPr>
            <w:tcW w:w="1080" w:type="dxa"/>
            <w:tcBorders>
              <w:top w:val="nil"/>
              <w:left w:val="nil"/>
              <w:bottom w:val="single" w:sz="4" w:space="0" w:color="auto"/>
              <w:right w:val="single" w:sz="4" w:space="0" w:color="auto"/>
            </w:tcBorders>
            <w:shd w:val="clear" w:color="auto" w:fill="auto"/>
            <w:noWrap/>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318</w:t>
            </w:r>
          </w:p>
        </w:tc>
        <w:tc>
          <w:tcPr>
            <w:tcW w:w="1140" w:type="dxa"/>
            <w:tcBorders>
              <w:top w:val="nil"/>
              <w:left w:val="nil"/>
              <w:bottom w:val="single" w:sz="4" w:space="0" w:color="auto"/>
              <w:right w:val="single" w:sz="4" w:space="0" w:color="auto"/>
            </w:tcBorders>
            <w:shd w:val="clear" w:color="auto" w:fill="auto"/>
            <w:noWrap/>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41</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HT-VI Townships and Residential Colonies</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154</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151</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HT-VII Temporary </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80</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107</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27</w:t>
            </w:r>
          </w:p>
        </w:tc>
      </w:tr>
      <w:tr w:rsidR="00FB56AC" w:rsidRPr="00435BC3" w:rsidTr="00346E72">
        <w:trPr>
          <w:trHeight w:val="310"/>
          <w:jc w:val="center"/>
        </w:trPr>
        <w:tc>
          <w:tcPr>
            <w:tcW w:w="4769" w:type="dxa"/>
            <w:tcBorders>
              <w:top w:val="nil"/>
              <w:left w:val="single" w:sz="4" w:space="0" w:color="auto"/>
              <w:bottom w:val="single" w:sz="4" w:space="0" w:color="auto"/>
              <w:right w:val="single" w:sz="4" w:space="0" w:color="auto"/>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HT-VII</w:t>
            </w:r>
            <w:r>
              <w:rPr>
                <w:rFonts w:asciiTheme="minorHAnsi" w:eastAsia="Times New Roman" w:hAnsiTheme="minorHAnsi" w:cstheme="minorHAnsi"/>
                <w:szCs w:val="24"/>
              </w:rPr>
              <w:t>I</w:t>
            </w:r>
            <w:r w:rsidRPr="00435BC3">
              <w:rPr>
                <w:rFonts w:asciiTheme="minorHAnsi" w:eastAsia="Times New Roman" w:hAnsiTheme="minorHAnsi" w:cstheme="minorHAnsi"/>
                <w:szCs w:val="24"/>
              </w:rPr>
              <w:t xml:space="preserve"> RESCO</w:t>
            </w:r>
            <w:r>
              <w:rPr>
                <w:rFonts w:asciiTheme="minorHAnsi" w:eastAsia="Times New Roman" w:hAnsiTheme="minorHAnsi" w:cstheme="minorHAnsi"/>
                <w:szCs w:val="24"/>
              </w:rPr>
              <w:t>s</w:t>
            </w:r>
            <w:r w:rsidRPr="00435BC3">
              <w:rPr>
                <w:rFonts w:asciiTheme="minorHAnsi" w:eastAsia="Times New Roman" w:hAnsiTheme="minorHAnsi" w:cstheme="minorHAnsi"/>
                <w:szCs w:val="24"/>
              </w:rPr>
              <w:t xml:space="preserve"> </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897</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938</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41</w:t>
            </w:r>
          </w:p>
        </w:tc>
      </w:tr>
      <w:tr w:rsidR="00FB56AC" w:rsidRPr="00435BC3" w:rsidTr="00346E72">
        <w:trPr>
          <w:trHeight w:val="320"/>
          <w:jc w:val="center"/>
        </w:trPr>
        <w:tc>
          <w:tcPr>
            <w:tcW w:w="4769" w:type="dxa"/>
            <w:tcBorders>
              <w:top w:val="nil"/>
              <w:left w:val="single" w:sz="4" w:space="0" w:color="auto"/>
              <w:bottom w:val="single" w:sz="4" w:space="0" w:color="auto"/>
              <w:right w:val="single" w:sz="4" w:space="0" w:color="auto"/>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 Total (HT+LT) </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19321</w:t>
            </w:r>
          </w:p>
        </w:tc>
        <w:tc>
          <w:tcPr>
            <w:tcW w:w="108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18774</w:t>
            </w:r>
          </w:p>
        </w:tc>
        <w:tc>
          <w:tcPr>
            <w:tcW w:w="1140" w:type="dxa"/>
            <w:tcBorders>
              <w:top w:val="nil"/>
              <w:left w:val="nil"/>
              <w:bottom w:val="single" w:sz="4" w:space="0" w:color="auto"/>
              <w:right w:val="single" w:sz="4" w:space="0" w:color="auto"/>
            </w:tcBorders>
            <w:shd w:val="clear" w:color="auto" w:fill="auto"/>
            <w:noWrap/>
            <w:hideMark/>
          </w:tcPr>
          <w:p w:rsidR="00FB56AC" w:rsidRPr="00435BC3" w:rsidRDefault="00FB56AC" w:rsidP="00346E72">
            <w:pPr>
              <w:spacing w:after="0" w:line="240" w:lineRule="auto"/>
              <w:jc w:val="right"/>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-547</w:t>
            </w:r>
          </w:p>
        </w:tc>
      </w:tr>
      <w:bookmarkEnd w:id="3"/>
    </w:tbl>
    <w:p w:rsidR="006539E3" w:rsidRPr="00435BC3" w:rsidRDefault="006539E3" w:rsidP="006539E3">
      <w:pPr>
        <w:jc w:val="both"/>
        <w:rPr>
          <w:rFonts w:asciiTheme="minorHAnsi" w:hAnsiTheme="minorHAnsi" w:cstheme="minorHAnsi"/>
          <w:u w:val="single"/>
        </w:rPr>
      </w:pPr>
    </w:p>
    <w:p w:rsidR="00CB79BF" w:rsidRPr="00435BC3" w:rsidRDefault="00CB79BF" w:rsidP="00CB79BF">
      <w:pPr>
        <w:jc w:val="both"/>
        <w:rPr>
          <w:rFonts w:asciiTheme="minorHAnsi" w:hAnsiTheme="minorHAnsi" w:cstheme="minorHAnsi"/>
        </w:rPr>
      </w:pPr>
      <w:r w:rsidRPr="00435BC3">
        <w:rPr>
          <w:rFonts w:asciiTheme="minorHAnsi" w:hAnsiTheme="minorHAnsi" w:cstheme="minorHAnsi"/>
        </w:rPr>
        <w:t>In the case of TSNPDCL, we can observe, actual LT sales were higher by 1001 MU’s than the claimed. For HT sales actual sales were lower by 1548 MU than the quantum claimed at the time of filing of petition. In total actual sales were lower by 547 MU’s than the projected sales.</w:t>
      </w:r>
    </w:p>
    <w:p w:rsidR="00CB79BF" w:rsidRPr="00435BC3" w:rsidRDefault="00CB79BF" w:rsidP="00693AD4">
      <w:pPr>
        <w:jc w:val="both"/>
        <w:rPr>
          <w:rFonts w:asciiTheme="minorHAnsi" w:hAnsiTheme="minorHAnsi" w:cstheme="minorHAnsi"/>
        </w:rPr>
      </w:pPr>
    </w:p>
    <w:p w:rsidR="00924CD4" w:rsidRPr="00435BC3" w:rsidRDefault="00924CD4" w:rsidP="00924CD4">
      <w:pPr>
        <w:jc w:val="both"/>
        <w:rPr>
          <w:rFonts w:asciiTheme="minorHAnsi" w:hAnsiTheme="minorHAnsi" w:cstheme="minorHAnsi"/>
          <w:b/>
          <w:bCs/>
          <w:u w:val="single"/>
        </w:rPr>
      </w:pPr>
      <w:r w:rsidRPr="00435BC3">
        <w:rPr>
          <w:rFonts w:asciiTheme="minorHAnsi" w:hAnsiTheme="minorHAnsi" w:cstheme="minorHAnsi"/>
          <w:b/>
          <w:bCs/>
          <w:u w:val="single"/>
        </w:rPr>
        <w:t>FY 2021-22</w:t>
      </w:r>
    </w:p>
    <w:p w:rsidR="00924CD4" w:rsidRPr="00435BC3" w:rsidRDefault="00924CD4" w:rsidP="00924CD4">
      <w:pPr>
        <w:jc w:val="both"/>
        <w:rPr>
          <w:rFonts w:asciiTheme="minorHAnsi" w:hAnsiTheme="minorHAnsi" w:cstheme="minorHAnsi"/>
          <w:u w:val="single"/>
        </w:rPr>
      </w:pPr>
      <w:r w:rsidRPr="00435BC3">
        <w:rPr>
          <w:rFonts w:asciiTheme="minorHAnsi" w:hAnsiTheme="minorHAnsi" w:cstheme="minorHAnsi"/>
          <w:u w:val="single"/>
        </w:rPr>
        <w:t>TSSPDCL</w:t>
      </w:r>
    </w:p>
    <w:p w:rsidR="00254B81" w:rsidRPr="00435BC3" w:rsidRDefault="00254B81" w:rsidP="00254B81">
      <w:pPr>
        <w:spacing w:after="0"/>
        <w:jc w:val="right"/>
        <w:rPr>
          <w:rFonts w:asciiTheme="minorHAnsi" w:hAnsiTheme="minorHAnsi" w:cstheme="minorHAnsi"/>
        </w:rPr>
      </w:pPr>
      <w:r w:rsidRPr="00435BC3">
        <w:rPr>
          <w:rFonts w:asciiTheme="minorHAnsi" w:hAnsiTheme="minorHAnsi" w:cstheme="minorHAnsi"/>
        </w:rPr>
        <w:t>Figures in MU</w:t>
      </w:r>
    </w:p>
    <w:tbl>
      <w:tblPr>
        <w:tblW w:w="8609" w:type="dxa"/>
        <w:jc w:val="center"/>
        <w:tblLook w:val="04A0"/>
      </w:tblPr>
      <w:tblGrid>
        <w:gridCol w:w="4769"/>
        <w:gridCol w:w="1280"/>
        <w:gridCol w:w="1280"/>
        <w:gridCol w:w="1280"/>
      </w:tblGrid>
      <w:tr w:rsidR="00FB56AC" w:rsidRPr="00435BC3" w:rsidTr="00346E72">
        <w:trPr>
          <w:trHeight w:val="320"/>
          <w:tblHeader/>
          <w:jc w:val="center"/>
        </w:trPr>
        <w:tc>
          <w:tcPr>
            <w:tcW w:w="4769"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Consumer Category </w:t>
            </w:r>
          </w:p>
        </w:tc>
        <w:tc>
          <w:tcPr>
            <w:tcW w:w="1280" w:type="dxa"/>
            <w:tcBorders>
              <w:top w:val="single" w:sz="8" w:space="0" w:color="auto"/>
              <w:left w:val="nil"/>
              <w:bottom w:val="nil"/>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 Filed </w:t>
            </w:r>
          </w:p>
        </w:tc>
        <w:tc>
          <w:tcPr>
            <w:tcW w:w="1280" w:type="dxa"/>
            <w:tcBorders>
              <w:top w:val="single" w:sz="8" w:space="0" w:color="auto"/>
              <w:left w:val="nil"/>
              <w:bottom w:val="nil"/>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 Actual </w:t>
            </w:r>
          </w:p>
        </w:tc>
        <w:tc>
          <w:tcPr>
            <w:tcW w:w="1280" w:type="dxa"/>
            <w:tcBorders>
              <w:top w:val="single" w:sz="8" w:space="0" w:color="auto"/>
              <w:left w:val="nil"/>
              <w:bottom w:val="nil"/>
              <w:right w:val="single" w:sz="8" w:space="0" w:color="auto"/>
            </w:tcBorders>
            <w:shd w:val="clear" w:color="000000" w:fill="D9D9D9"/>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color w:val="000000"/>
                <w:szCs w:val="24"/>
              </w:rPr>
            </w:pPr>
            <w:r w:rsidRPr="00435BC3">
              <w:rPr>
                <w:rFonts w:asciiTheme="minorHAnsi" w:eastAsia="Times New Roman" w:hAnsiTheme="minorHAnsi" w:cstheme="minorHAnsi"/>
                <w:b/>
                <w:bCs/>
                <w:color w:val="000000"/>
                <w:szCs w:val="24"/>
              </w:rPr>
              <w:t xml:space="preserve"> Variance </w:t>
            </w:r>
          </w:p>
        </w:tc>
      </w:tr>
      <w:tr w:rsidR="00FB56AC" w:rsidRPr="00435BC3" w:rsidTr="00346E72">
        <w:trPr>
          <w:trHeight w:val="320"/>
          <w:jc w:val="center"/>
        </w:trPr>
        <w:tc>
          <w:tcPr>
            <w:tcW w:w="4769" w:type="dxa"/>
            <w:tcBorders>
              <w:top w:val="nil"/>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LT Category</w:t>
            </w:r>
          </w:p>
        </w:tc>
        <w:tc>
          <w:tcPr>
            <w:tcW w:w="1280" w:type="dxa"/>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24423</w:t>
            </w:r>
          </w:p>
        </w:tc>
        <w:tc>
          <w:tcPr>
            <w:tcW w:w="1280" w:type="dxa"/>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25607</w:t>
            </w:r>
          </w:p>
        </w:tc>
        <w:tc>
          <w:tcPr>
            <w:tcW w:w="1280" w:type="dxa"/>
            <w:tcBorders>
              <w:top w:val="single" w:sz="8" w:space="0" w:color="auto"/>
              <w:left w:val="single" w:sz="8" w:space="0" w:color="auto"/>
              <w:bottom w:val="single" w:sz="8" w:space="0" w:color="auto"/>
              <w:right w:val="single" w:sz="8"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-1184</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I - Domestic </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9558</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9435</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122</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II - Non-domestic/Commercial </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2970</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2494</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477</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Category III - Indust</w:t>
            </w:r>
            <w:r>
              <w:rPr>
                <w:rFonts w:asciiTheme="minorHAnsi" w:eastAsia="Times New Roman" w:hAnsiTheme="minorHAnsi" w:cstheme="minorHAnsi"/>
                <w:szCs w:val="24"/>
              </w:rPr>
              <w:t>ry</w:t>
            </w:r>
            <w:r w:rsidRPr="00435BC3">
              <w:rPr>
                <w:rFonts w:asciiTheme="minorHAnsi" w:eastAsia="Times New Roman" w:hAnsiTheme="minorHAnsi" w:cstheme="minorHAnsi"/>
                <w:szCs w:val="24"/>
              </w:rPr>
              <w:t xml:space="preserve"> </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973</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901</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73</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IV - Cottage Industries </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10</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9</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V - Agriculture </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10277</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12154</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-1876</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VI - St. Lighting &amp; PWS </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512</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469</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42</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VII - General </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77</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62</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14</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 xml:space="preserve">Category VIII-Temporary Supply </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45</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83</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-37</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Category IX- E</w:t>
            </w:r>
            <w:r>
              <w:rPr>
                <w:rFonts w:asciiTheme="minorHAnsi" w:eastAsia="Times New Roman" w:hAnsiTheme="minorHAnsi" w:cstheme="minorHAnsi"/>
                <w:szCs w:val="24"/>
              </w:rPr>
              <w:t>V</w:t>
            </w:r>
            <w:r w:rsidRPr="00435BC3">
              <w:rPr>
                <w:rFonts w:asciiTheme="minorHAnsi" w:eastAsia="Times New Roman" w:hAnsiTheme="minorHAnsi" w:cstheme="minorHAnsi"/>
                <w:szCs w:val="24"/>
              </w:rPr>
              <w:t xml:space="preserve">s </w:t>
            </w:r>
            <w:r>
              <w:rPr>
                <w:rFonts w:asciiTheme="minorHAnsi" w:eastAsia="Times New Roman" w:hAnsiTheme="minorHAnsi" w:cstheme="minorHAnsi"/>
                <w:szCs w:val="24"/>
              </w:rPr>
              <w:t>Charging Station</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w:t>
            </w:r>
          </w:p>
        </w:tc>
      </w:tr>
      <w:tr w:rsidR="00FB56AC" w:rsidRPr="00435BC3" w:rsidTr="00346E72">
        <w:trPr>
          <w:trHeight w:val="320"/>
          <w:jc w:val="center"/>
        </w:trPr>
        <w:tc>
          <w:tcPr>
            <w:tcW w:w="4769" w:type="dxa"/>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HIGH TENSION</w:t>
            </w:r>
          </w:p>
        </w:tc>
        <w:tc>
          <w:tcPr>
            <w:tcW w:w="1280" w:type="dxa"/>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20256</w:t>
            </w:r>
          </w:p>
        </w:tc>
        <w:tc>
          <w:tcPr>
            <w:tcW w:w="1280" w:type="dxa"/>
            <w:tcBorders>
              <w:top w:val="single" w:sz="8" w:space="0" w:color="auto"/>
              <w:left w:val="single" w:sz="8" w:space="0" w:color="auto"/>
              <w:bottom w:val="single" w:sz="8" w:space="0" w:color="auto"/>
              <w:right w:val="nil"/>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17477</w:t>
            </w:r>
          </w:p>
        </w:tc>
        <w:tc>
          <w:tcPr>
            <w:tcW w:w="1280" w:type="dxa"/>
            <w:tcBorders>
              <w:top w:val="single" w:sz="8" w:space="0" w:color="auto"/>
              <w:left w:val="single" w:sz="8" w:space="0" w:color="auto"/>
              <w:bottom w:val="single" w:sz="8" w:space="0" w:color="auto"/>
              <w:right w:val="single" w:sz="8" w:space="0" w:color="auto"/>
            </w:tcBorders>
            <w:shd w:val="clear" w:color="000000" w:fill="CCFFCC"/>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2779</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Industry </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12294</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11860</w:t>
            </w:r>
          </w:p>
        </w:tc>
        <w:tc>
          <w:tcPr>
            <w:tcW w:w="1280" w:type="dxa"/>
            <w:tcBorders>
              <w:top w:val="nil"/>
              <w:left w:val="nil"/>
              <w:bottom w:val="single" w:sz="4" w:space="0" w:color="auto"/>
              <w:right w:val="single" w:sz="8"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434</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Others </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2971</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2265</w:t>
            </w:r>
          </w:p>
        </w:tc>
        <w:tc>
          <w:tcPr>
            <w:tcW w:w="1280" w:type="dxa"/>
            <w:tcBorders>
              <w:top w:val="nil"/>
              <w:left w:val="nil"/>
              <w:bottom w:val="single" w:sz="4" w:space="0" w:color="auto"/>
              <w:right w:val="single" w:sz="8"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706</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HT-III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Airports, Bus Stations and Railway Stations</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91</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51</w:t>
            </w:r>
          </w:p>
        </w:tc>
        <w:tc>
          <w:tcPr>
            <w:tcW w:w="1280" w:type="dxa"/>
            <w:tcBorders>
              <w:top w:val="nil"/>
              <w:left w:val="nil"/>
              <w:bottom w:val="single" w:sz="4" w:space="0" w:color="auto"/>
              <w:right w:val="single" w:sz="8"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40</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 -IV</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Irrigation </w:t>
            </w:r>
            <w:r>
              <w:rPr>
                <w:rFonts w:asciiTheme="minorHAnsi" w:eastAsia="Times New Roman" w:hAnsiTheme="minorHAnsi" w:cstheme="minorHAnsi"/>
                <w:szCs w:val="24"/>
              </w:rPr>
              <w:t xml:space="preserve">&amp; Agriculture and </w:t>
            </w:r>
            <w:r w:rsidRPr="00435BC3">
              <w:rPr>
                <w:rFonts w:asciiTheme="minorHAnsi" w:eastAsia="Times New Roman" w:hAnsiTheme="minorHAnsi" w:cstheme="minorHAnsi"/>
                <w:szCs w:val="24"/>
              </w:rPr>
              <w:t>CPW</w:t>
            </w:r>
            <w:r>
              <w:rPr>
                <w:rFonts w:asciiTheme="minorHAnsi" w:eastAsia="Times New Roman" w:hAnsiTheme="minorHAnsi" w:cstheme="minorHAnsi"/>
                <w:szCs w:val="24"/>
              </w:rPr>
              <w:t xml:space="preserve"> Schemes</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4195</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2533</w:t>
            </w:r>
          </w:p>
        </w:tc>
        <w:tc>
          <w:tcPr>
            <w:tcW w:w="1280" w:type="dxa"/>
            <w:tcBorders>
              <w:top w:val="nil"/>
              <w:left w:val="nil"/>
              <w:bottom w:val="single" w:sz="4" w:space="0" w:color="auto"/>
              <w:right w:val="single" w:sz="8"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1661</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HT-V</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Railway Traction (including HMR)</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336</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299</w:t>
            </w:r>
          </w:p>
        </w:tc>
        <w:tc>
          <w:tcPr>
            <w:tcW w:w="1280" w:type="dxa"/>
            <w:tcBorders>
              <w:top w:val="nil"/>
              <w:left w:val="nil"/>
              <w:bottom w:val="single" w:sz="4" w:space="0" w:color="auto"/>
              <w:right w:val="single" w:sz="8"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38</w:t>
            </w:r>
          </w:p>
        </w:tc>
      </w:tr>
      <w:tr w:rsidR="00FB56AC" w:rsidRPr="00435BC3" w:rsidTr="00346E72">
        <w:trPr>
          <w:trHeight w:val="310"/>
          <w:jc w:val="center"/>
        </w:trPr>
        <w:tc>
          <w:tcPr>
            <w:tcW w:w="4769" w:type="dxa"/>
            <w:tcBorders>
              <w:top w:val="nil"/>
              <w:left w:val="single" w:sz="8" w:space="0" w:color="auto"/>
              <w:bottom w:val="single" w:sz="4" w:space="0" w:color="auto"/>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lastRenderedPageBreak/>
              <w:t>HT-VI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Townships and Residential Colonies</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219</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312</w:t>
            </w:r>
          </w:p>
        </w:tc>
        <w:tc>
          <w:tcPr>
            <w:tcW w:w="1280" w:type="dxa"/>
            <w:tcBorders>
              <w:top w:val="nil"/>
              <w:left w:val="nil"/>
              <w:bottom w:val="single" w:sz="4" w:space="0" w:color="auto"/>
              <w:right w:val="single" w:sz="8"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-93</w:t>
            </w:r>
          </w:p>
        </w:tc>
      </w:tr>
      <w:tr w:rsidR="00FB56AC" w:rsidRPr="00435BC3" w:rsidTr="00346E72">
        <w:trPr>
          <w:trHeight w:val="310"/>
          <w:jc w:val="center"/>
        </w:trPr>
        <w:tc>
          <w:tcPr>
            <w:tcW w:w="4769" w:type="dxa"/>
            <w:tcBorders>
              <w:top w:val="nil"/>
              <w:left w:val="single" w:sz="8" w:space="0" w:color="auto"/>
              <w:bottom w:val="nil"/>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HT-VII</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Temporary </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136</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154</w:t>
            </w:r>
          </w:p>
        </w:tc>
        <w:tc>
          <w:tcPr>
            <w:tcW w:w="1280" w:type="dxa"/>
            <w:tcBorders>
              <w:top w:val="nil"/>
              <w:left w:val="nil"/>
              <w:bottom w:val="single" w:sz="4" w:space="0" w:color="auto"/>
              <w:right w:val="single" w:sz="8"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-18</w:t>
            </w:r>
          </w:p>
        </w:tc>
      </w:tr>
      <w:tr w:rsidR="00FB56AC" w:rsidRPr="00435BC3" w:rsidTr="00346E72">
        <w:trPr>
          <w:trHeight w:val="310"/>
          <w:jc w:val="center"/>
        </w:trPr>
        <w:tc>
          <w:tcPr>
            <w:tcW w:w="4769" w:type="dxa"/>
            <w:tcBorders>
              <w:top w:val="single" w:sz="4" w:space="0" w:color="auto"/>
              <w:left w:val="single" w:sz="8" w:space="0" w:color="auto"/>
              <w:bottom w:val="single" w:sz="4" w:space="0" w:color="auto"/>
              <w:right w:val="nil"/>
            </w:tcBorders>
            <w:shd w:val="clear" w:color="auto" w:fill="auto"/>
            <w:noWrap/>
            <w:vAlign w:val="bottom"/>
            <w:hideMark/>
          </w:tcPr>
          <w:p w:rsidR="00FB56AC" w:rsidRPr="00435BC3" w:rsidRDefault="00FB56AC" w:rsidP="00346E72">
            <w:pPr>
              <w:spacing w:after="0" w:line="240" w:lineRule="auto"/>
              <w:rPr>
                <w:rFonts w:asciiTheme="minorHAnsi" w:eastAsia="Times New Roman" w:hAnsiTheme="minorHAnsi" w:cstheme="minorHAnsi"/>
                <w:szCs w:val="24"/>
              </w:rPr>
            </w:pPr>
            <w:r>
              <w:rPr>
                <w:rFonts w:asciiTheme="minorHAnsi" w:eastAsia="Times New Roman" w:hAnsiTheme="minorHAnsi" w:cstheme="minorHAnsi"/>
                <w:szCs w:val="24"/>
              </w:rPr>
              <w:t xml:space="preserve">HT VIII: </w:t>
            </w:r>
            <w:r w:rsidRPr="00435BC3">
              <w:rPr>
                <w:rFonts w:asciiTheme="minorHAnsi" w:eastAsia="Times New Roman" w:hAnsiTheme="minorHAnsi" w:cstheme="minorHAnsi"/>
                <w:szCs w:val="24"/>
              </w:rPr>
              <w:t>RESCOs</w:t>
            </w:r>
          </w:p>
        </w:tc>
        <w:tc>
          <w:tcPr>
            <w:tcW w:w="1280" w:type="dxa"/>
            <w:tcBorders>
              <w:top w:val="nil"/>
              <w:left w:val="single" w:sz="8" w:space="0" w:color="auto"/>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0</w:t>
            </w:r>
          </w:p>
        </w:tc>
        <w:tc>
          <w:tcPr>
            <w:tcW w:w="1280" w:type="dxa"/>
            <w:tcBorders>
              <w:top w:val="nil"/>
              <w:left w:val="nil"/>
              <w:bottom w:val="single" w:sz="4" w:space="0" w:color="auto"/>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0</w:t>
            </w:r>
          </w:p>
        </w:tc>
        <w:tc>
          <w:tcPr>
            <w:tcW w:w="1280" w:type="dxa"/>
            <w:tcBorders>
              <w:top w:val="nil"/>
              <w:left w:val="nil"/>
              <w:bottom w:val="single" w:sz="4" w:space="0" w:color="auto"/>
              <w:right w:val="single" w:sz="8"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0</w:t>
            </w:r>
          </w:p>
        </w:tc>
      </w:tr>
      <w:tr w:rsidR="00FB56AC" w:rsidRPr="00435BC3" w:rsidTr="00346E72">
        <w:trPr>
          <w:trHeight w:val="320"/>
          <w:jc w:val="center"/>
        </w:trPr>
        <w:tc>
          <w:tcPr>
            <w:tcW w:w="4769" w:type="dxa"/>
            <w:tcBorders>
              <w:top w:val="nil"/>
              <w:left w:val="single" w:sz="8" w:space="0" w:color="auto"/>
              <w:bottom w:val="nil"/>
              <w:right w:val="nil"/>
            </w:tcBorders>
            <w:shd w:val="clear" w:color="auto" w:fill="auto"/>
            <w:noWrap/>
            <w:hideMark/>
          </w:tcPr>
          <w:p w:rsidR="00FB56AC" w:rsidRPr="00435BC3" w:rsidRDefault="00FB56AC" w:rsidP="00346E72">
            <w:pPr>
              <w:spacing w:after="0" w:line="240" w:lineRule="auto"/>
              <w:rPr>
                <w:rFonts w:asciiTheme="minorHAnsi" w:eastAsia="Times New Roman" w:hAnsiTheme="minorHAnsi" w:cstheme="minorHAnsi"/>
                <w:szCs w:val="24"/>
              </w:rPr>
            </w:pPr>
            <w:r w:rsidRPr="00435BC3">
              <w:rPr>
                <w:rFonts w:asciiTheme="minorHAnsi" w:eastAsia="Times New Roman" w:hAnsiTheme="minorHAnsi" w:cstheme="minorHAnsi"/>
                <w:szCs w:val="24"/>
              </w:rPr>
              <w:t>HT-IX</w:t>
            </w:r>
            <w:r>
              <w:rPr>
                <w:rFonts w:asciiTheme="minorHAnsi" w:eastAsia="Times New Roman" w:hAnsiTheme="minorHAnsi" w:cstheme="minorHAnsi"/>
                <w:szCs w:val="24"/>
              </w:rPr>
              <w:t>:</w:t>
            </w:r>
            <w:r w:rsidRPr="00435BC3">
              <w:rPr>
                <w:rFonts w:asciiTheme="minorHAnsi" w:eastAsia="Times New Roman" w:hAnsiTheme="minorHAnsi" w:cstheme="minorHAnsi"/>
                <w:szCs w:val="24"/>
              </w:rPr>
              <w:t xml:space="preserve"> EVs </w:t>
            </w:r>
            <w:r>
              <w:rPr>
                <w:rFonts w:asciiTheme="minorHAnsi" w:eastAsia="Times New Roman" w:hAnsiTheme="minorHAnsi" w:cstheme="minorHAnsi"/>
                <w:szCs w:val="24"/>
              </w:rPr>
              <w:t>Charging Station</w:t>
            </w:r>
          </w:p>
        </w:tc>
        <w:tc>
          <w:tcPr>
            <w:tcW w:w="1280" w:type="dxa"/>
            <w:tcBorders>
              <w:top w:val="nil"/>
              <w:left w:val="single" w:sz="8" w:space="0" w:color="auto"/>
              <w:bottom w:val="nil"/>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15</w:t>
            </w:r>
          </w:p>
        </w:tc>
        <w:tc>
          <w:tcPr>
            <w:tcW w:w="1280" w:type="dxa"/>
            <w:tcBorders>
              <w:top w:val="nil"/>
              <w:left w:val="nil"/>
              <w:bottom w:val="nil"/>
              <w:right w:val="single" w:sz="8" w:space="0" w:color="auto"/>
            </w:tcBorders>
            <w:shd w:val="clear" w:color="auto" w:fill="auto"/>
            <w:noWrap/>
            <w:vAlign w:val="center"/>
            <w:hideMark/>
          </w:tcPr>
          <w:p w:rsidR="00FB56AC" w:rsidRPr="00435BC3" w:rsidRDefault="00FB56AC" w:rsidP="00346E72">
            <w:pPr>
              <w:spacing w:after="0" w:line="240" w:lineRule="auto"/>
              <w:jc w:val="center"/>
              <w:rPr>
                <w:rFonts w:asciiTheme="minorHAnsi" w:eastAsia="Times New Roman" w:hAnsiTheme="minorHAnsi" w:cstheme="minorHAnsi"/>
                <w:szCs w:val="24"/>
              </w:rPr>
            </w:pPr>
            <w:r w:rsidRPr="00435BC3">
              <w:rPr>
                <w:rFonts w:asciiTheme="minorHAnsi" w:eastAsia="Times New Roman" w:hAnsiTheme="minorHAnsi" w:cstheme="minorHAnsi"/>
                <w:szCs w:val="24"/>
              </w:rPr>
              <w:t>3</w:t>
            </w:r>
          </w:p>
        </w:tc>
        <w:tc>
          <w:tcPr>
            <w:tcW w:w="1280" w:type="dxa"/>
            <w:tcBorders>
              <w:top w:val="nil"/>
              <w:left w:val="nil"/>
              <w:bottom w:val="nil"/>
              <w:right w:val="single" w:sz="8" w:space="0" w:color="auto"/>
            </w:tcBorders>
            <w:shd w:val="clear" w:color="auto" w:fill="auto"/>
            <w:noWrap/>
            <w:hideMark/>
          </w:tcPr>
          <w:p w:rsidR="00FB56AC" w:rsidRPr="00435BC3" w:rsidRDefault="00FB56AC" w:rsidP="00346E72">
            <w:pPr>
              <w:spacing w:after="0" w:line="240" w:lineRule="auto"/>
              <w:jc w:val="center"/>
              <w:rPr>
                <w:rFonts w:asciiTheme="minorHAnsi" w:eastAsia="Times New Roman" w:hAnsiTheme="minorHAnsi" w:cstheme="minorHAnsi"/>
                <w:color w:val="000000"/>
                <w:szCs w:val="24"/>
              </w:rPr>
            </w:pPr>
            <w:r w:rsidRPr="00435BC3">
              <w:rPr>
                <w:rFonts w:asciiTheme="minorHAnsi" w:eastAsia="Times New Roman" w:hAnsiTheme="minorHAnsi" w:cstheme="minorHAnsi"/>
                <w:color w:val="000000"/>
                <w:szCs w:val="24"/>
              </w:rPr>
              <w:t>11</w:t>
            </w:r>
          </w:p>
        </w:tc>
      </w:tr>
      <w:tr w:rsidR="00FB56AC" w:rsidRPr="00435BC3" w:rsidTr="00346E72">
        <w:trPr>
          <w:trHeight w:val="320"/>
          <w:jc w:val="center"/>
        </w:trPr>
        <w:tc>
          <w:tcPr>
            <w:tcW w:w="4769" w:type="dxa"/>
            <w:tcBorders>
              <w:top w:val="single" w:sz="8" w:space="0" w:color="auto"/>
              <w:left w:val="single" w:sz="8" w:space="0" w:color="auto"/>
              <w:bottom w:val="single" w:sz="8" w:space="0" w:color="auto"/>
              <w:right w:val="nil"/>
            </w:tcBorders>
            <w:shd w:val="clear" w:color="000000" w:fill="AEAAAA"/>
            <w:noWrap/>
            <w:vAlign w:val="center"/>
            <w:hideMark/>
          </w:tcPr>
          <w:p w:rsidR="00FB56AC" w:rsidRPr="00435BC3" w:rsidRDefault="00FB56AC" w:rsidP="00346E72">
            <w:pPr>
              <w:spacing w:after="0" w:line="240" w:lineRule="auto"/>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TOTAL( LT + HT)</w:t>
            </w:r>
          </w:p>
        </w:tc>
        <w:tc>
          <w:tcPr>
            <w:tcW w:w="1280" w:type="dxa"/>
            <w:tcBorders>
              <w:top w:val="single" w:sz="8" w:space="0" w:color="auto"/>
              <w:left w:val="single" w:sz="8" w:space="0" w:color="auto"/>
              <w:bottom w:val="single" w:sz="8" w:space="0" w:color="auto"/>
              <w:right w:val="nil"/>
            </w:tcBorders>
            <w:shd w:val="clear" w:color="000000" w:fill="AEAAAA"/>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44679</w:t>
            </w:r>
          </w:p>
        </w:tc>
        <w:tc>
          <w:tcPr>
            <w:tcW w:w="1280" w:type="dxa"/>
            <w:tcBorders>
              <w:top w:val="single" w:sz="8" w:space="0" w:color="auto"/>
              <w:left w:val="single" w:sz="8" w:space="0" w:color="auto"/>
              <w:bottom w:val="single" w:sz="8" w:space="0" w:color="auto"/>
              <w:right w:val="nil"/>
            </w:tcBorders>
            <w:shd w:val="clear" w:color="000000" w:fill="AEAAAA"/>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43085</w:t>
            </w:r>
          </w:p>
        </w:tc>
        <w:tc>
          <w:tcPr>
            <w:tcW w:w="1280" w:type="dxa"/>
            <w:tcBorders>
              <w:top w:val="single" w:sz="8" w:space="0" w:color="auto"/>
              <w:left w:val="single" w:sz="8" w:space="0" w:color="auto"/>
              <w:bottom w:val="single" w:sz="8" w:space="0" w:color="auto"/>
              <w:right w:val="single" w:sz="8" w:space="0" w:color="auto"/>
            </w:tcBorders>
            <w:shd w:val="clear" w:color="000000" w:fill="AEAAAA"/>
            <w:noWrap/>
            <w:vAlign w:val="center"/>
            <w:hideMark/>
          </w:tcPr>
          <w:p w:rsidR="00FB56AC" w:rsidRPr="00435BC3" w:rsidRDefault="00FB56AC" w:rsidP="00346E72">
            <w:pPr>
              <w:spacing w:after="0" w:line="240" w:lineRule="auto"/>
              <w:jc w:val="center"/>
              <w:rPr>
                <w:rFonts w:asciiTheme="minorHAnsi" w:eastAsia="Times New Roman" w:hAnsiTheme="minorHAnsi" w:cstheme="minorHAnsi"/>
                <w:b/>
                <w:bCs/>
                <w:szCs w:val="24"/>
              </w:rPr>
            </w:pPr>
            <w:r w:rsidRPr="00435BC3">
              <w:rPr>
                <w:rFonts w:asciiTheme="minorHAnsi" w:eastAsia="Times New Roman" w:hAnsiTheme="minorHAnsi" w:cstheme="minorHAnsi"/>
                <w:b/>
                <w:bCs/>
                <w:szCs w:val="24"/>
              </w:rPr>
              <w:t>1594</w:t>
            </w:r>
          </w:p>
        </w:tc>
      </w:tr>
    </w:tbl>
    <w:p w:rsidR="00CB79BF" w:rsidRPr="00435BC3" w:rsidRDefault="00CB79BF" w:rsidP="00924CD4">
      <w:pPr>
        <w:jc w:val="both"/>
        <w:rPr>
          <w:rFonts w:asciiTheme="minorHAnsi" w:hAnsiTheme="minorHAnsi" w:cstheme="minorHAnsi"/>
          <w:u w:val="single"/>
        </w:rPr>
      </w:pPr>
    </w:p>
    <w:p w:rsidR="00565750" w:rsidRPr="00435BC3" w:rsidRDefault="00565750" w:rsidP="00565750">
      <w:pPr>
        <w:jc w:val="both"/>
        <w:rPr>
          <w:rFonts w:asciiTheme="minorHAnsi" w:hAnsiTheme="minorHAnsi" w:cstheme="minorHAnsi"/>
        </w:rPr>
      </w:pPr>
      <w:r w:rsidRPr="00435BC3">
        <w:rPr>
          <w:rFonts w:asciiTheme="minorHAnsi" w:hAnsiTheme="minorHAnsi" w:cstheme="minorHAnsi"/>
        </w:rPr>
        <w:t>In the case of TSSPDCL, we can observe, actual LT sales were higher by 1184 MU’s than the claimed. For HT sales actual sales were lower by 2778 MU than the quantum claimed at the time of filing of petition. In total actual sales were lower by 1594 MU’s than the projected sales.</w:t>
      </w:r>
    </w:p>
    <w:p w:rsidR="00CB79BF" w:rsidRPr="00435BC3" w:rsidRDefault="00CB79BF" w:rsidP="00924CD4">
      <w:pPr>
        <w:jc w:val="both"/>
        <w:rPr>
          <w:rFonts w:asciiTheme="minorHAnsi" w:hAnsiTheme="minorHAnsi" w:cstheme="minorHAnsi"/>
          <w:u w:val="single"/>
        </w:rPr>
      </w:pPr>
    </w:p>
    <w:p w:rsidR="00CB79BF" w:rsidRPr="00435BC3" w:rsidRDefault="00CB79BF" w:rsidP="00CB79BF">
      <w:pPr>
        <w:jc w:val="both"/>
        <w:rPr>
          <w:rFonts w:asciiTheme="minorHAnsi" w:hAnsiTheme="minorHAnsi" w:cstheme="minorHAnsi"/>
          <w:u w:val="single"/>
        </w:rPr>
      </w:pPr>
      <w:r w:rsidRPr="00435BC3">
        <w:rPr>
          <w:rFonts w:asciiTheme="minorHAnsi" w:hAnsiTheme="minorHAnsi" w:cstheme="minorHAnsi"/>
          <w:u w:val="single"/>
        </w:rPr>
        <w:t>TSNPDCL</w:t>
      </w:r>
    </w:p>
    <w:p w:rsidR="00254B81" w:rsidRPr="00435BC3" w:rsidRDefault="00254B81" w:rsidP="00254B81">
      <w:pPr>
        <w:spacing w:after="0"/>
        <w:jc w:val="right"/>
        <w:rPr>
          <w:rFonts w:asciiTheme="minorHAnsi" w:hAnsiTheme="minorHAnsi" w:cstheme="minorHAnsi"/>
        </w:rPr>
      </w:pPr>
      <w:r w:rsidRPr="00435BC3">
        <w:rPr>
          <w:rFonts w:asciiTheme="minorHAnsi" w:hAnsiTheme="minorHAnsi" w:cstheme="minorHAnsi"/>
        </w:rPr>
        <w:t>Figures in MU</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80"/>
        <w:gridCol w:w="1280"/>
        <w:gridCol w:w="1280"/>
        <w:gridCol w:w="1280"/>
      </w:tblGrid>
      <w:tr w:rsidR="00FB56AC" w:rsidRPr="00E13A58" w:rsidTr="00346E72">
        <w:trPr>
          <w:trHeight w:val="300"/>
          <w:tblHeader/>
          <w:jc w:val="center"/>
        </w:trPr>
        <w:tc>
          <w:tcPr>
            <w:tcW w:w="4680" w:type="dxa"/>
            <w:shd w:val="clear" w:color="000000" w:fill="D9D9D9"/>
            <w:noWrap/>
            <w:vAlign w:val="center"/>
            <w:hideMark/>
          </w:tcPr>
          <w:p w:rsidR="00FB56AC" w:rsidRPr="00E13A58" w:rsidRDefault="00FB56AC" w:rsidP="00346E72">
            <w:pPr>
              <w:spacing w:after="0" w:line="240" w:lineRule="auto"/>
              <w:jc w:val="center"/>
              <w:rPr>
                <w:rFonts w:asciiTheme="minorHAnsi" w:eastAsia="Times New Roman" w:hAnsiTheme="minorHAnsi" w:cstheme="minorHAnsi"/>
                <w:b/>
                <w:bCs/>
                <w:color w:val="000000"/>
                <w:szCs w:val="24"/>
              </w:rPr>
            </w:pPr>
            <w:r w:rsidRPr="00E13A58">
              <w:rPr>
                <w:rFonts w:asciiTheme="minorHAnsi" w:eastAsia="Times New Roman" w:hAnsiTheme="minorHAnsi" w:cstheme="minorHAnsi"/>
                <w:b/>
                <w:bCs/>
                <w:color w:val="000000"/>
                <w:szCs w:val="24"/>
              </w:rPr>
              <w:t xml:space="preserve">Consumer Category </w:t>
            </w:r>
          </w:p>
        </w:tc>
        <w:tc>
          <w:tcPr>
            <w:tcW w:w="1280" w:type="dxa"/>
            <w:shd w:val="clear" w:color="000000" w:fill="D9D9D9"/>
            <w:noWrap/>
            <w:vAlign w:val="center"/>
            <w:hideMark/>
          </w:tcPr>
          <w:p w:rsidR="00FB56AC" w:rsidRPr="00E13A58" w:rsidRDefault="00FB56AC" w:rsidP="00346E72">
            <w:pPr>
              <w:spacing w:after="0" w:line="240" w:lineRule="auto"/>
              <w:jc w:val="center"/>
              <w:rPr>
                <w:rFonts w:asciiTheme="minorHAnsi" w:eastAsia="Times New Roman" w:hAnsiTheme="minorHAnsi" w:cstheme="minorHAnsi"/>
                <w:b/>
                <w:bCs/>
                <w:color w:val="000000"/>
                <w:szCs w:val="24"/>
              </w:rPr>
            </w:pPr>
            <w:r w:rsidRPr="00E13A58">
              <w:rPr>
                <w:rFonts w:asciiTheme="minorHAnsi" w:eastAsia="Times New Roman" w:hAnsiTheme="minorHAnsi" w:cstheme="minorHAnsi"/>
                <w:b/>
                <w:bCs/>
                <w:color w:val="000000"/>
                <w:szCs w:val="24"/>
              </w:rPr>
              <w:t xml:space="preserve"> Filed </w:t>
            </w:r>
          </w:p>
        </w:tc>
        <w:tc>
          <w:tcPr>
            <w:tcW w:w="1280" w:type="dxa"/>
            <w:shd w:val="clear" w:color="000000" w:fill="D9D9D9"/>
            <w:noWrap/>
            <w:vAlign w:val="center"/>
            <w:hideMark/>
          </w:tcPr>
          <w:p w:rsidR="00FB56AC" w:rsidRPr="00E13A58" w:rsidRDefault="00FB56AC" w:rsidP="00346E72">
            <w:pPr>
              <w:spacing w:after="0" w:line="240" w:lineRule="auto"/>
              <w:jc w:val="center"/>
              <w:rPr>
                <w:rFonts w:asciiTheme="minorHAnsi" w:eastAsia="Times New Roman" w:hAnsiTheme="minorHAnsi" w:cstheme="minorHAnsi"/>
                <w:b/>
                <w:bCs/>
                <w:color w:val="000000"/>
                <w:szCs w:val="24"/>
              </w:rPr>
            </w:pPr>
            <w:r w:rsidRPr="00E13A58">
              <w:rPr>
                <w:rFonts w:asciiTheme="minorHAnsi" w:eastAsia="Times New Roman" w:hAnsiTheme="minorHAnsi" w:cstheme="minorHAnsi"/>
                <w:b/>
                <w:bCs/>
                <w:color w:val="000000"/>
                <w:szCs w:val="24"/>
              </w:rPr>
              <w:t xml:space="preserve"> Actual </w:t>
            </w:r>
          </w:p>
        </w:tc>
        <w:tc>
          <w:tcPr>
            <w:tcW w:w="1280" w:type="dxa"/>
            <w:shd w:val="clear" w:color="000000" w:fill="D9D9D9"/>
            <w:noWrap/>
            <w:vAlign w:val="center"/>
            <w:hideMark/>
          </w:tcPr>
          <w:p w:rsidR="00FB56AC" w:rsidRPr="00E13A58" w:rsidRDefault="00FB56AC" w:rsidP="00346E72">
            <w:pPr>
              <w:spacing w:after="0" w:line="240" w:lineRule="auto"/>
              <w:jc w:val="center"/>
              <w:rPr>
                <w:rFonts w:asciiTheme="minorHAnsi" w:eastAsia="Times New Roman" w:hAnsiTheme="minorHAnsi" w:cstheme="minorHAnsi"/>
                <w:b/>
                <w:bCs/>
                <w:color w:val="000000"/>
                <w:szCs w:val="24"/>
              </w:rPr>
            </w:pPr>
            <w:r w:rsidRPr="00E13A58">
              <w:rPr>
                <w:rFonts w:asciiTheme="minorHAnsi" w:eastAsia="Times New Roman" w:hAnsiTheme="minorHAnsi" w:cstheme="minorHAnsi"/>
                <w:b/>
                <w:bCs/>
                <w:color w:val="000000"/>
                <w:szCs w:val="24"/>
              </w:rPr>
              <w:t xml:space="preserve"> Variance </w:t>
            </w:r>
          </w:p>
        </w:tc>
      </w:tr>
      <w:tr w:rsidR="00FB56AC" w:rsidRPr="00E13A58" w:rsidTr="00346E72">
        <w:trPr>
          <w:trHeight w:val="300"/>
          <w:jc w:val="center"/>
        </w:trPr>
        <w:tc>
          <w:tcPr>
            <w:tcW w:w="4680" w:type="dxa"/>
            <w:shd w:val="clear" w:color="000000" w:fill="CCFFCC"/>
            <w:noWrap/>
            <w:vAlign w:val="center"/>
            <w:hideMark/>
          </w:tcPr>
          <w:p w:rsidR="00FB56AC" w:rsidRPr="00E13A58" w:rsidRDefault="00FB56AC" w:rsidP="00346E72">
            <w:pPr>
              <w:spacing w:after="0" w:line="240" w:lineRule="auto"/>
              <w:rPr>
                <w:rFonts w:asciiTheme="minorHAnsi" w:eastAsia="Times New Roman" w:hAnsiTheme="minorHAnsi" w:cstheme="minorHAnsi"/>
                <w:b/>
                <w:bCs/>
                <w:szCs w:val="24"/>
              </w:rPr>
            </w:pPr>
            <w:r w:rsidRPr="00E13A58">
              <w:rPr>
                <w:rFonts w:asciiTheme="minorHAnsi" w:eastAsia="Times New Roman" w:hAnsiTheme="minorHAnsi" w:cstheme="minorHAnsi"/>
                <w:b/>
                <w:bCs/>
                <w:szCs w:val="24"/>
              </w:rPr>
              <w:t>LT Category</w:t>
            </w:r>
          </w:p>
        </w:tc>
        <w:tc>
          <w:tcPr>
            <w:tcW w:w="1280" w:type="dxa"/>
            <w:shd w:val="clear" w:color="000000" w:fill="CCFFCC"/>
            <w:noWrap/>
            <w:vAlign w:val="center"/>
            <w:hideMark/>
          </w:tcPr>
          <w:p w:rsidR="00FB56AC" w:rsidRPr="00E13A58" w:rsidRDefault="00FB56AC" w:rsidP="00346E72">
            <w:pPr>
              <w:spacing w:after="0" w:line="240" w:lineRule="auto"/>
              <w:jc w:val="center"/>
              <w:rPr>
                <w:rFonts w:asciiTheme="minorHAnsi" w:eastAsia="Times New Roman" w:hAnsiTheme="minorHAnsi" w:cstheme="minorHAnsi"/>
                <w:b/>
                <w:bCs/>
                <w:color w:val="000000"/>
                <w:szCs w:val="24"/>
              </w:rPr>
            </w:pPr>
            <w:r>
              <w:rPr>
                <w:rFonts w:cs="Calibri"/>
                <w:b/>
                <w:bCs/>
                <w:color w:val="000000"/>
              </w:rPr>
              <w:t>12509.04</w:t>
            </w:r>
          </w:p>
        </w:tc>
        <w:tc>
          <w:tcPr>
            <w:tcW w:w="1280" w:type="dxa"/>
            <w:shd w:val="clear" w:color="000000" w:fill="CCFFCC"/>
            <w:noWrap/>
            <w:vAlign w:val="center"/>
            <w:hideMark/>
          </w:tcPr>
          <w:p w:rsidR="00FB56AC" w:rsidRPr="00E13A58" w:rsidRDefault="00FB56AC" w:rsidP="00346E72">
            <w:pPr>
              <w:spacing w:after="0" w:line="240" w:lineRule="auto"/>
              <w:jc w:val="center"/>
              <w:rPr>
                <w:rFonts w:asciiTheme="minorHAnsi" w:eastAsia="Times New Roman" w:hAnsiTheme="minorHAnsi" w:cstheme="minorHAnsi"/>
                <w:b/>
                <w:bCs/>
                <w:color w:val="000000"/>
                <w:szCs w:val="24"/>
              </w:rPr>
            </w:pPr>
            <w:r>
              <w:rPr>
                <w:rFonts w:cs="Calibri"/>
                <w:b/>
                <w:bCs/>
                <w:color w:val="000000"/>
              </w:rPr>
              <w:t>12654.02</w:t>
            </w:r>
          </w:p>
        </w:tc>
        <w:tc>
          <w:tcPr>
            <w:tcW w:w="1280" w:type="dxa"/>
            <w:shd w:val="clear" w:color="000000" w:fill="CCFFCC"/>
            <w:noWrap/>
            <w:vAlign w:val="center"/>
            <w:hideMark/>
          </w:tcPr>
          <w:p w:rsidR="00FB56AC" w:rsidRPr="00E13A58" w:rsidRDefault="00FB56AC" w:rsidP="00346E72">
            <w:pPr>
              <w:spacing w:after="0" w:line="240" w:lineRule="auto"/>
              <w:jc w:val="center"/>
              <w:rPr>
                <w:rFonts w:asciiTheme="minorHAnsi" w:eastAsia="Times New Roman" w:hAnsiTheme="minorHAnsi" w:cstheme="minorHAnsi"/>
                <w:b/>
                <w:bCs/>
                <w:szCs w:val="24"/>
              </w:rPr>
            </w:pPr>
            <w:r>
              <w:rPr>
                <w:rFonts w:cs="Calibri"/>
                <w:b/>
                <w:bCs/>
              </w:rPr>
              <w:t>-144.98</w:t>
            </w:r>
          </w:p>
        </w:tc>
      </w:tr>
      <w:tr w:rsidR="00FB56AC" w:rsidRPr="00E13A58" w:rsidTr="00346E72">
        <w:trPr>
          <w:trHeight w:val="290"/>
          <w:jc w:val="center"/>
        </w:trPr>
        <w:tc>
          <w:tcPr>
            <w:tcW w:w="4680" w:type="dxa"/>
            <w:shd w:val="clear" w:color="auto" w:fill="auto"/>
            <w:noWrap/>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 xml:space="preserve"> Category I - Domestic </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4175.73</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3863.42</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312.30</w:t>
            </w:r>
          </w:p>
        </w:tc>
      </w:tr>
      <w:tr w:rsidR="00FB56AC" w:rsidRPr="00E13A58" w:rsidTr="00346E72">
        <w:trPr>
          <w:trHeight w:val="290"/>
          <w:jc w:val="center"/>
        </w:trPr>
        <w:tc>
          <w:tcPr>
            <w:tcW w:w="4680" w:type="dxa"/>
            <w:shd w:val="clear" w:color="auto" w:fill="auto"/>
            <w:noWrap/>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 xml:space="preserve"> Category II - Non-domestic/Commercial </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871.68</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743.86</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127.82</w:t>
            </w:r>
          </w:p>
        </w:tc>
      </w:tr>
      <w:tr w:rsidR="00FB56AC" w:rsidRPr="00E13A58" w:rsidTr="00346E72">
        <w:trPr>
          <w:trHeight w:val="290"/>
          <w:jc w:val="center"/>
        </w:trPr>
        <w:tc>
          <w:tcPr>
            <w:tcW w:w="4680" w:type="dxa"/>
            <w:shd w:val="clear" w:color="auto" w:fill="auto"/>
            <w:noWrap/>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 xml:space="preserve"> Category III - Industr</w:t>
            </w:r>
            <w:r>
              <w:rPr>
                <w:rFonts w:asciiTheme="minorHAnsi" w:eastAsia="Times New Roman" w:hAnsiTheme="minorHAnsi" w:cstheme="minorHAnsi"/>
                <w:szCs w:val="24"/>
              </w:rPr>
              <w:t>y</w:t>
            </w:r>
            <w:r w:rsidRPr="00E13A58">
              <w:rPr>
                <w:rFonts w:asciiTheme="minorHAnsi" w:eastAsia="Times New Roman" w:hAnsiTheme="minorHAnsi" w:cstheme="minorHAnsi"/>
                <w:szCs w:val="24"/>
              </w:rPr>
              <w:t xml:space="preserve"> </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281.01</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235.74</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45.28</w:t>
            </w:r>
          </w:p>
        </w:tc>
      </w:tr>
      <w:tr w:rsidR="00FB56AC" w:rsidRPr="00E13A58" w:rsidTr="00346E72">
        <w:trPr>
          <w:trHeight w:val="290"/>
          <w:jc w:val="center"/>
        </w:trPr>
        <w:tc>
          <w:tcPr>
            <w:tcW w:w="4680" w:type="dxa"/>
            <w:shd w:val="clear" w:color="auto" w:fill="auto"/>
            <w:noWrap/>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 xml:space="preserve"> Category IV - Cottage Industries </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7.99</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8.18</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-0.19</w:t>
            </w:r>
          </w:p>
        </w:tc>
      </w:tr>
      <w:tr w:rsidR="00FB56AC" w:rsidRPr="00E13A58" w:rsidTr="00346E72">
        <w:trPr>
          <w:trHeight w:val="290"/>
          <w:jc w:val="center"/>
        </w:trPr>
        <w:tc>
          <w:tcPr>
            <w:tcW w:w="4680" w:type="dxa"/>
            <w:shd w:val="clear" w:color="auto" w:fill="auto"/>
            <w:noWrap/>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 xml:space="preserve"> Category V - Agriculture </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6783.26</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7419.51</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-636.25</w:t>
            </w:r>
          </w:p>
        </w:tc>
      </w:tr>
      <w:tr w:rsidR="00FB56AC" w:rsidRPr="00E13A58" w:rsidTr="00346E72">
        <w:trPr>
          <w:trHeight w:val="290"/>
          <w:jc w:val="center"/>
        </w:trPr>
        <w:tc>
          <w:tcPr>
            <w:tcW w:w="4680" w:type="dxa"/>
            <w:shd w:val="clear" w:color="auto" w:fill="auto"/>
            <w:noWrap/>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 xml:space="preserve"> Category VI - St. Lighting &amp; PWS </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326.82</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344.52</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-17.70</w:t>
            </w:r>
          </w:p>
        </w:tc>
      </w:tr>
      <w:tr w:rsidR="00FB56AC" w:rsidRPr="00E13A58" w:rsidTr="00346E72">
        <w:trPr>
          <w:trHeight w:val="290"/>
          <w:jc w:val="center"/>
        </w:trPr>
        <w:tc>
          <w:tcPr>
            <w:tcW w:w="4680" w:type="dxa"/>
            <w:shd w:val="clear" w:color="auto" w:fill="auto"/>
            <w:noWrap/>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 xml:space="preserve"> Category VII - General </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61.07</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33.79</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27.28</w:t>
            </w:r>
          </w:p>
        </w:tc>
      </w:tr>
      <w:tr w:rsidR="00FB56AC" w:rsidRPr="00E13A58" w:rsidTr="00346E72">
        <w:trPr>
          <w:trHeight w:val="290"/>
          <w:jc w:val="center"/>
        </w:trPr>
        <w:tc>
          <w:tcPr>
            <w:tcW w:w="4680" w:type="dxa"/>
            <w:shd w:val="clear" w:color="auto" w:fill="auto"/>
            <w:noWrap/>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 xml:space="preserve"> Category VIII-Temporary Supply </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1.49</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5.01</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-3.52</w:t>
            </w:r>
          </w:p>
        </w:tc>
      </w:tr>
      <w:tr w:rsidR="00FB56AC" w:rsidRPr="00E13A58" w:rsidTr="00346E72">
        <w:trPr>
          <w:trHeight w:val="300"/>
          <w:jc w:val="center"/>
        </w:trPr>
        <w:tc>
          <w:tcPr>
            <w:tcW w:w="4680" w:type="dxa"/>
            <w:shd w:val="clear" w:color="000000" w:fill="CCFFCC"/>
            <w:noWrap/>
            <w:vAlign w:val="center"/>
            <w:hideMark/>
          </w:tcPr>
          <w:p w:rsidR="00FB56AC" w:rsidRPr="00E13A58" w:rsidRDefault="00FB56AC" w:rsidP="00346E72">
            <w:pPr>
              <w:spacing w:after="0" w:line="240" w:lineRule="auto"/>
              <w:rPr>
                <w:rFonts w:asciiTheme="minorHAnsi" w:eastAsia="Times New Roman" w:hAnsiTheme="minorHAnsi" w:cstheme="minorHAnsi"/>
                <w:b/>
                <w:bCs/>
                <w:szCs w:val="24"/>
              </w:rPr>
            </w:pPr>
            <w:r w:rsidRPr="00E13A58">
              <w:rPr>
                <w:rFonts w:asciiTheme="minorHAnsi" w:eastAsia="Times New Roman" w:hAnsiTheme="minorHAnsi" w:cstheme="minorHAnsi"/>
                <w:b/>
                <w:bCs/>
                <w:szCs w:val="24"/>
              </w:rPr>
              <w:t>HIGH TENSION</w:t>
            </w:r>
          </w:p>
        </w:tc>
        <w:tc>
          <w:tcPr>
            <w:tcW w:w="1280" w:type="dxa"/>
            <w:shd w:val="clear" w:color="000000" w:fill="CCFFCC"/>
            <w:noWrap/>
            <w:vAlign w:val="center"/>
            <w:hideMark/>
          </w:tcPr>
          <w:p w:rsidR="00FB56AC" w:rsidRPr="00E13A58" w:rsidRDefault="00FB56AC" w:rsidP="00346E72">
            <w:pPr>
              <w:spacing w:after="0" w:line="240" w:lineRule="auto"/>
              <w:jc w:val="center"/>
              <w:rPr>
                <w:rFonts w:asciiTheme="minorHAnsi" w:eastAsia="Times New Roman" w:hAnsiTheme="minorHAnsi" w:cstheme="minorHAnsi"/>
                <w:b/>
                <w:bCs/>
                <w:color w:val="000000"/>
                <w:szCs w:val="24"/>
              </w:rPr>
            </w:pPr>
            <w:r>
              <w:rPr>
                <w:rFonts w:cs="Calibri"/>
                <w:b/>
                <w:bCs/>
                <w:color w:val="000000"/>
              </w:rPr>
              <w:t>11533.14</w:t>
            </w:r>
          </w:p>
        </w:tc>
        <w:tc>
          <w:tcPr>
            <w:tcW w:w="1280" w:type="dxa"/>
            <w:shd w:val="clear" w:color="000000" w:fill="CCFFCC"/>
            <w:noWrap/>
            <w:vAlign w:val="center"/>
            <w:hideMark/>
          </w:tcPr>
          <w:p w:rsidR="00FB56AC" w:rsidRPr="00E13A58" w:rsidRDefault="00FB56AC" w:rsidP="00346E72">
            <w:pPr>
              <w:spacing w:after="0" w:line="240" w:lineRule="auto"/>
              <w:jc w:val="center"/>
              <w:rPr>
                <w:rFonts w:asciiTheme="minorHAnsi" w:eastAsia="Times New Roman" w:hAnsiTheme="minorHAnsi" w:cstheme="minorHAnsi"/>
                <w:b/>
                <w:bCs/>
                <w:color w:val="000000"/>
                <w:szCs w:val="24"/>
              </w:rPr>
            </w:pPr>
            <w:r>
              <w:rPr>
                <w:rFonts w:cs="Calibri"/>
                <w:b/>
                <w:bCs/>
                <w:color w:val="000000"/>
              </w:rPr>
              <w:t>5987.80</w:t>
            </w:r>
          </w:p>
        </w:tc>
        <w:tc>
          <w:tcPr>
            <w:tcW w:w="1280" w:type="dxa"/>
            <w:shd w:val="clear" w:color="000000" w:fill="CCFFCC"/>
            <w:noWrap/>
            <w:vAlign w:val="center"/>
            <w:hideMark/>
          </w:tcPr>
          <w:p w:rsidR="00FB56AC" w:rsidRPr="00E13A58" w:rsidRDefault="00FB56AC" w:rsidP="00346E72">
            <w:pPr>
              <w:spacing w:after="0" w:line="240" w:lineRule="auto"/>
              <w:jc w:val="center"/>
              <w:rPr>
                <w:rFonts w:asciiTheme="minorHAnsi" w:eastAsia="Times New Roman" w:hAnsiTheme="minorHAnsi" w:cstheme="minorHAnsi"/>
                <w:b/>
                <w:bCs/>
                <w:szCs w:val="24"/>
              </w:rPr>
            </w:pPr>
            <w:r>
              <w:rPr>
                <w:rFonts w:cs="Calibri"/>
                <w:b/>
                <w:bCs/>
              </w:rPr>
              <w:t>5545.34</w:t>
            </w:r>
          </w:p>
        </w:tc>
      </w:tr>
      <w:tr w:rsidR="00FB56AC" w:rsidRPr="00E13A58" w:rsidTr="00346E72">
        <w:trPr>
          <w:trHeight w:val="290"/>
          <w:jc w:val="center"/>
        </w:trPr>
        <w:tc>
          <w:tcPr>
            <w:tcW w:w="4680" w:type="dxa"/>
            <w:shd w:val="clear" w:color="auto" w:fill="auto"/>
            <w:noWrap/>
            <w:vAlign w:val="bottom"/>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HT-I</w:t>
            </w:r>
            <w:r>
              <w:rPr>
                <w:rFonts w:asciiTheme="minorHAnsi" w:eastAsia="Times New Roman" w:hAnsiTheme="minorHAnsi" w:cstheme="minorHAnsi"/>
                <w:szCs w:val="24"/>
              </w:rPr>
              <w:t>:</w:t>
            </w:r>
            <w:r w:rsidRPr="00E13A58">
              <w:rPr>
                <w:rFonts w:asciiTheme="minorHAnsi" w:eastAsia="Times New Roman" w:hAnsiTheme="minorHAnsi" w:cstheme="minorHAnsi"/>
                <w:szCs w:val="24"/>
              </w:rPr>
              <w:t xml:space="preserve"> Industry </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1822.29</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1914.98</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-92.69</w:t>
            </w:r>
          </w:p>
        </w:tc>
      </w:tr>
      <w:tr w:rsidR="00FB56AC" w:rsidRPr="00E13A58" w:rsidTr="00346E72">
        <w:trPr>
          <w:trHeight w:val="290"/>
          <w:jc w:val="center"/>
        </w:trPr>
        <w:tc>
          <w:tcPr>
            <w:tcW w:w="4680" w:type="dxa"/>
            <w:shd w:val="clear" w:color="auto" w:fill="auto"/>
            <w:noWrap/>
            <w:vAlign w:val="bottom"/>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HT-II</w:t>
            </w:r>
            <w:r>
              <w:rPr>
                <w:rFonts w:asciiTheme="minorHAnsi" w:eastAsia="Times New Roman" w:hAnsiTheme="minorHAnsi" w:cstheme="minorHAnsi"/>
                <w:szCs w:val="24"/>
              </w:rPr>
              <w:t>:</w:t>
            </w:r>
            <w:r w:rsidRPr="00E13A58">
              <w:rPr>
                <w:rFonts w:asciiTheme="minorHAnsi" w:eastAsia="Times New Roman" w:hAnsiTheme="minorHAnsi" w:cstheme="minorHAnsi"/>
                <w:szCs w:val="24"/>
              </w:rPr>
              <w:t xml:space="preserve"> Others </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176.75</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146.25</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30.50</w:t>
            </w:r>
          </w:p>
        </w:tc>
      </w:tr>
      <w:tr w:rsidR="00FB56AC" w:rsidRPr="00E13A58" w:rsidTr="00346E72">
        <w:trPr>
          <w:trHeight w:val="290"/>
          <w:jc w:val="center"/>
        </w:trPr>
        <w:tc>
          <w:tcPr>
            <w:tcW w:w="4680" w:type="dxa"/>
            <w:shd w:val="clear" w:color="auto" w:fill="auto"/>
            <w:noWrap/>
            <w:vAlign w:val="bottom"/>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HT-III</w:t>
            </w:r>
            <w:r>
              <w:rPr>
                <w:rFonts w:asciiTheme="minorHAnsi" w:eastAsia="Times New Roman" w:hAnsiTheme="minorHAnsi" w:cstheme="minorHAnsi"/>
                <w:szCs w:val="24"/>
              </w:rPr>
              <w:t>:</w:t>
            </w:r>
            <w:r w:rsidRPr="00E13A58">
              <w:rPr>
                <w:rFonts w:asciiTheme="minorHAnsi" w:eastAsia="Times New Roman" w:hAnsiTheme="minorHAnsi" w:cstheme="minorHAnsi"/>
                <w:szCs w:val="24"/>
              </w:rPr>
              <w:t xml:space="preserve"> Airports, Bus Stations and Railway Stations</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7.72</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7.14</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0.57</w:t>
            </w:r>
          </w:p>
        </w:tc>
      </w:tr>
      <w:tr w:rsidR="00FB56AC" w:rsidRPr="00E13A58" w:rsidTr="00346E72">
        <w:trPr>
          <w:trHeight w:val="290"/>
          <w:jc w:val="center"/>
        </w:trPr>
        <w:tc>
          <w:tcPr>
            <w:tcW w:w="4680" w:type="dxa"/>
            <w:shd w:val="clear" w:color="auto" w:fill="auto"/>
            <w:noWrap/>
            <w:vAlign w:val="bottom"/>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HT-IV</w:t>
            </w:r>
            <w:r>
              <w:rPr>
                <w:rFonts w:asciiTheme="minorHAnsi" w:eastAsia="Times New Roman" w:hAnsiTheme="minorHAnsi" w:cstheme="minorHAnsi"/>
                <w:szCs w:val="24"/>
              </w:rPr>
              <w:t>:</w:t>
            </w:r>
            <w:r w:rsidRPr="00E13A58">
              <w:rPr>
                <w:rFonts w:asciiTheme="minorHAnsi" w:eastAsia="Times New Roman" w:hAnsiTheme="minorHAnsi" w:cstheme="minorHAnsi"/>
                <w:szCs w:val="24"/>
              </w:rPr>
              <w:t xml:space="preserve"> Irrigation </w:t>
            </w:r>
            <w:r>
              <w:rPr>
                <w:rFonts w:asciiTheme="minorHAnsi" w:eastAsia="Times New Roman" w:hAnsiTheme="minorHAnsi" w:cstheme="minorHAnsi"/>
                <w:szCs w:val="24"/>
              </w:rPr>
              <w:t xml:space="preserve">&amp; Agriculture and </w:t>
            </w:r>
            <w:r w:rsidRPr="00E13A58">
              <w:rPr>
                <w:rFonts w:asciiTheme="minorHAnsi" w:eastAsia="Times New Roman" w:hAnsiTheme="minorHAnsi" w:cstheme="minorHAnsi"/>
                <w:szCs w:val="24"/>
              </w:rPr>
              <w:t>CPWS</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7940.57</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2332.78</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5607.79</w:t>
            </w:r>
          </w:p>
        </w:tc>
      </w:tr>
      <w:tr w:rsidR="00FB56AC" w:rsidRPr="00E13A58" w:rsidTr="00346E72">
        <w:trPr>
          <w:trHeight w:val="290"/>
          <w:jc w:val="center"/>
        </w:trPr>
        <w:tc>
          <w:tcPr>
            <w:tcW w:w="4680" w:type="dxa"/>
            <w:shd w:val="clear" w:color="auto" w:fill="auto"/>
            <w:noWrap/>
            <w:vAlign w:val="bottom"/>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HT-V</w:t>
            </w:r>
            <w:r>
              <w:rPr>
                <w:rFonts w:asciiTheme="minorHAnsi" w:eastAsia="Times New Roman" w:hAnsiTheme="minorHAnsi" w:cstheme="minorHAnsi"/>
                <w:szCs w:val="24"/>
              </w:rPr>
              <w:t>:</w:t>
            </w:r>
            <w:r w:rsidRPr="00E13A58">
              <w:rPr>
                <w:rFonts w:asciiTheme="minorHAnsi" w:eastAsia="Times New Roman" w:hAnsiTheme="minorHAnsi" w:cstheme="minorHAnsi"/>
                <w:szCs w:val="24"/>
              </w:rPr>
              <w:t xml:space="preserve"> Railway Traction</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447.09</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482.07</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-34.99</w:t>
            </w:r>
          </w:p>
        </w:tc>
      </w:tr>
      <w:tr w:rsidR="00FB56AC" w:rsidRPr="00E13A58" w:rsidTr="00346E72">
        <w:trPr>
          <w:trHeight w:val="290"/>
          <w:jc w:val="center"/>
        </w:trPr>
        <w:tc>
          <w:tcPr>
            <w:tcW w:w="4680" w:type="dxa"/>
            <w:shd w:val="clear" w:color="auto" w:fill="auto"/>
            <w:noWrap/>
            <w:vAlign w:val="bottom"/>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HT-VI</w:t>
            </w:r>
            <w:r>
              <w:rPr>
                <w:rFonts w:asciiTheme="minorHAnsi" w:eastAsia="Times New Roman" w:hAnsiTheme="minorHAnsi" w:cstheme="minorHAnsi"/>
                <w:szCs w:val="24"/>
              </w:rPr>
              <w:t>:</w:t>
            </w:r>
            <w:r w:rsidRPr="00E13A58">
              <w:rPr>
                <w:rFonts w:asciiTheme="minorHAnsi" w:eastAsia="Times New Roman" w:hAnsiTheme="minorHAnsi" w:cstheme="minorHAnsi"/>
                <w:szCs w:val="24"/>
              </w:rPr>
              <w:t xml:space="preserve"> Townships and Residential Colonies</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157.08</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138.60</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18.48</w:t>
            </w:r>
          </w:p>
        </w:tc>
      </w:tr>
      <w:tr w:rsidR="00FB56AC" w:rsidRPr="00E13A58" w:rsidTr="00346E72">
        <w:trPr>
          <w:trHeight w:val="290"/>
          <w:jc w:val="center"/>
        </w:trPr>
        <w:tc>
          <w:tcPr>
            <w:tcW w:w="4680" w:type="dxa"/>
            <w:shd w:val="clear" w:color="auto" w:fill="auto"/>
            <w:noWrap/>
            <w:vAlign w:val="bottom"/>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HT-VII</w:t>
            </w:r>
            <w:r>
              <w:rPr>
                <w:rFonts w:asciiTheme="minorHAnsi" w:eastAsia="Times New Roman" w:hAnsiTheme="minorHAnsi" w:cstheme="minorHAnsi"/>
                <w:szCs w:val="24"/>
              </w:rPr>
              <w:t>:</w:t>
            </w:r>
            <w:r w:rsidRPr="00E13A58">
              <w:rPr>
                <w:rFonts w:asciiTheme="minorHAnsi" w:eastAsia="Times New Roman" w:hAnsiTheme="minorHAnsi" w:cstheme="minorHAnsi"/>
                <w:szCs w:val="24"/>
              </w:rPr>
              <w:t xml:space="preserve"> Temporary </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35.71</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42.07</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-6.36</w:t>
            </w:r>
          </w:p>
        </w:tc>
      </w:tr>
      <w:tr w:rsidR="00FB56AC" w:rsidRPr="00E13A58" w:rsidTr="00346E72">
        <w:trPr>
          <w:trHeight w:val="290"/>
          <w:jc w:val="center"/>
        </w:trPr>
        <w:tc>
          <w:tcPr>
            <w:tcW w:w="4680" w:type="dxa"/>
            <w:shd w:val="clear" w:color="auto" w:fill="auto"/>
            <w:noWrap/>
            <w:vAlign w:val="bottom"/>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HT-VII</w:t>
            </w:r>
            <w:r>
              <w:rPr>
                <w:rFonts w:asciiTheme="minorHAnsi" w:eastAsia="Times New Roman" w:hAnsiTheme="minorHAnsi" w:cstheme="minorHAnsi"/>
                <w:szCs w:val="24"/>
              </w:rPr>
              <w:t>I:</w:t>
            </w:r>
            <w:r w:rsidRPr="00E13A58">
              <w:rPr>
                <w:rFonts w:asciiTheme="minorHAnsi" w:eastAsia="Times New Roman" w:hAnsiTheme="minorHAnsi" w:cstheme="minorHAnsi"/>
                <w:szCs w:val="24"/>
              </w:rPr>
              <w:t xml:space="preserve"> – RESCOs</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943.50</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923.90</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19.60</w:t>
            </w:r>
          </w:p>
        </w:tc>
      </w:tr>
      <w:tr w:rsidR="00FB56AC" w:rsidRPr="00E13A58" w:rsidTr="00346E72">
        <w:trPr>
          <w:trHeight w:val="300"/>
          <w:jc w:val="center"/>
        </w:trPr>
        <w:tc>
          <w:tcPr>
            <w:tcW w:w="4680" w:type="dxa"/>
            <w:shd w:val="clear" w:color="auto" w:fill="auto"/>
            <w:noWrap/>
            <w:vAlign w:val="bottom"/>
            <w:hideMark/>
          </w:tcPr>
          <w:p w:rsidR="00FB56AC" w:rsidRPr="00E13A58" w:rsidRDefault="00FB56AC" w:rsidP="00346E72">
            <w:pPr>
              <w:spacing w:after="0" w:line="240" w:lineRule="auto"/>
              <w:rPr>
                <w:rFonts w:asciiTheme="minorHAnsi" w:eastAsia="Times New Roman" w:hAnsiTheme="minorHAnsi" w:cstheme="minorHAnsi"/>
                <w:szCs w:val="24"/>
              </w:rPr>
            </w:pPr>
            <w:r w:rsidRPr="00E13A58">
              <w:rPr>
                <w:rFonts w:asciiTheme="minorHAnsi" w:eastAsia="Times New Roman" w:hAnsiTheme="minorHAnsi" w:cstheme="minorHAnsi"/>
                <w:szCs w:val="24"/>
              </w:rPr>
              <w:t>HT-IX</w:t>
            </w:r>
            <w:r>
              <w:rPr>
                <w:rFonts w:asciiTheme="minorHAnsi" w:eastAsia="Times New Roman" w:hAnsiTheme="minorHAnsi" w:cstheme="minorHAnsi"/>
                <w:szCs w:val="24"/>
              </w:rPr>
              <w:t>:</w:t>
            </w:r>
            <w:r w:rsidRPr="00E13A58">
              <w:rPr>
                <w:rFonts w:asciiTheme="minorHAnsi" w:eastAsia="Times New Roman" w:hAnsiTheme="minorHAnsi" w:cstheme="minorHAnsi"/>
                <w:szCs w:val="24"/>
              </w:rPr>
              <w:t xml:space="preserve"> EVs Charging Station</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2.42</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0.00</w:t>
            </w:r>
          </w:p>
        </w:tc>
        <w:tc>
          <w:tcPr>
            <w:tcW w:w="1280" w:type="dxa"/>
            <w:shd w:val="clear" w:color="auto" w:fill="auto"/>
            <w:noWrap/>
            <w:vAlign w:val="center"/>
            <w:hideMark/>
          </w:tcPr>
          <w:p w:rsidR="00FB56AC" w:rsidRPr="00E13A58" w:rsidRDefault="00FB56AC" w:rsidP="00346E72">
            <w:pPr>
              <w:spacing w:after="0" w:line="240" w:lineRule="auto"/>
              <w:jc w:val="center"/>
              <w:rPr>
                <w:rFonts w:asciiTheme="minorHAnsi" w:eastAsia="Times New Roman" w:hAnsiTheme="minorHAnsi" w:cstheme="minorHAnsi"/>
                <w:color w:val="000000"/>
                <w:szCs w:val="24"/>
              </w:rPr>
            </w:pPr>
            <w:r>
              <w:rPr>
                <w:rFonts w:cs="Calibri"/>
                <w:color w:val="000000"/>
              </w:rPr>
              <w:t>2.42</w:t>
            </w:r>
          </w:p>
        </w:tc>
      </w:tr>
      <w:tr w:rsidR="00FB56AC" w:rsidRPr="00E13A58" w:rsidTr="00346E72">
        <w:trPr>
          <w:trHeight w:val="300"/>
          <w:jc w:val="center"/>
        </w:trPr>
        <w:tc>
          <w:tcPr>
            <w:tcW w:w="4680" w:type="dxa"/>
            <w:shd w:val="clear" w:color="000000" w:fill="AEAAAA"/>
            <w:noWrap/>
            <w:vAlign w:val="center"/>
            <w:hideMark/>
          </w:tcPr>
          <w:p w:rsidR="00FB56AC" w:rsidRPr="00E13A58" w:rsidRDefault="00FB56AC" w:rsidP="00346E72">
            <w:pPr>
              <w:spacing w:after="0" w:line="240" w:lineRule="auto"/>
              <w:rPr>
                <w:rFonts w:asciiTheme="minorHAnsi" w:eastAsia="Times New Roman" w:hAnsiTheme="minorHAnsi" w:cstheme="minorHAnsi"/>
                <w:b/>
                <w:bCs/>
                <w:szCs w:val="24"/>
              </w:rPr>
            </w:pPr>
            <w:r w:rsidRPr="00E13A58">
              <w:rPr>
                <w:rFonts w:asciiTheme="minorHAnsi" w:eastAsia="Times New Roman" w:hAnsiTheme="minorHAnsi" w:cstheme="minorHAnsi"/>
                <w:b/>
                <w:bCs/>
                <w:szCs w:val="24"/>
              </w:rPr>
              <w:t>TOTAL( LT + HT)</w:t>
            </w:r>
          </w:p>
        </w:tc>
        <w:tc>
          <w:tcPr>
            <w:tcW w:w="1280" w:type="dxa"/>
            <w:shd w:val="clear" w:color="000000" w:fill="AEAAAA"/>
            <w:noWrap/>
            <w:vAlign w:val="center"/>
            <w:hideMark/>
          </w:tcPr>
          <w:p w:rsidR="00FB56AC" w:rsidRPr="00E13A58" w:rsidRDefault="00FB56AC" w:rsidP="00346E72">
            <w:pPr>
              <w:spacing w:after="0" w:line="240" w:lineRule="auto"/>
              <w:jc w:val="center"/>
              <w:rPr>
                <w:rFonts w:asciiTheme="minorHAnsi" w:eastAsia="Times New Roman" w:hAnsiTheme="minorHAnsi" w:cstheme="minorHAnsi"/>
                <w:b/>
                <w:bCs/>
                <w:szCs w:val="24"/>
              </w:rPr>
            </w:pPr>
            <w:r>
              <w:rPr>
                <w:rFonts w:cs="Calibri"/>
                <w:b/>
                <w:bCs/>
              </w:rPr>
              <w:t>24042.18</w:t>
            </w:r>
          </w:p>
        </w:tc>
        <w:tc>
          <w:tcPr>
            <w:tcW w:w="1280" w:type="dxa"/>
            <w:shd w:val="clear" w:color="000000" w:fill="AEAAAA"/>
            <w:noWrap/>
            <w:vAlign w:val="center"/>
            <w:hideMark/>
          </w:tcPr>
          <w:p w:rsidR="00FB56AC" w:rsidRPr="00E13A58" w:rsidRDefault="00FB56AC" w:rsidP="00346E72">
            <w:pPr>
              <w:spacing w:after="0" w:line="240" w:lineRule="auto"/>
              <w:jc w:val="center"/>
              <w:rPr>
                <w:rFonts w:asciiTheme="minorHAnsi" w:eastAsia="Times New Roman" w:hAnsiTheme="minorHAnsi" w:cstheme="minorHAnsi"/>
                <w:b/>
                <w:bCs/>
                <w:szCs w:val="24"/>
              </w:rPr>
            </w:pPr>
            <w:r>
              <w:rPr>
                <w:rFonts w:cs="Calibri"/>
                <w:b/>
                <w:bCs/>
              </w:rPr>
              <w:t>18641.82</w:t>
            </w:r>
          </w:p>
        </w:tc>
        <w:tc>
          <w:tcPr>
            <w:tcW w:w="1280" w:type="dxa"/>
            <w:shd w:val="clear" w:color="000000" w:fill="AEAAAA"/>
            <w:noWrap/>
            <w:vAlign w:val="center"/>
            <w:hideMark/>
          </w:tcPr>
          <w:p w:rsidR="00FB56AC" w:rsidRPr="00E13A58" w:rsidRDefault="00FB56AC" w:rsidP="00346E72">
            <w:pPr>
              <w:spacing w:after="0" w:line="240" w:lineRule="auto"/>
              <w:jc w:val="center"/>
              <w:rPr>
                <w:rFonts w:asciiTheme="minorHAnsi" w:eastAsia="Times New Roman" w:hAnsiTheme="minorHAnsi" w:cstheme="minorHAnsi"/>
                <w:b/>
                <w:bCs/>
                <w:szCs w:val="24"/>
              </w:rPr>
            </w:pPr>
            <w:r>
              <w:rPr>
                <w:rFonts w:cs="Calibri"/>
                <w:b/>
                <w:bCs/>
              </w:rPr>
              <w:t>5400.36</w:t>
            </w:r>
          </w:p>
        </w:tc>
      </w:tr>
    </w:tbl>
    <w:p w:rsidR="00CB79BF" w:rsidRPr="00435BC3" w:rsidRDefault="00CB79BF" w:rsidP="00924CD4">
      <w:pPr>
        <w:jc w:val="both"/>
        <w:rPr>
          <w:rFonts w:asciiTheme="minorHAnsi" w:hAnsiTheme="minorHAnsi" w:cstheme="minorHAnsi"/>
          <w:u w:val="single"/>
        </w:rPr>
      </w:pPr>
    </w:p>
    <w:p w:rsidR="00565750" w:rsidRPr="00435BC3" w:rsidRDefault="00565750" w:rsidP="00565750">
      <w:pPr>
        <w:jc w:val="both"/>
        <w:rPr>
          <w:rFonts w:asciiTheme="minorHAnsi" w:hAnsiTheme="minorHAnsi" w:cstheme="minorHAnsi"/>
        </w:rPr>
      </w:pPr>
      <w:r w:rsidRPr="00435BC3">
        <w:rPr>
          <w:rFonts w:asciiTheme="minorHAnsi" w:hAnsiTheme="minorHAnsi" w:cstheme="minorHAnsi"/>
        </w:rPr>
        <w:t xml:space="preserve">In the case of TSNPDCL, we can observe, actual LT sales were higher by 144 MU’s than the claimed. For HT sales actual sales were lower by 5545 MU than the quantum claimed at the time of filing of petition. The major change was in HT sales was on account of consumer </w:t>
      </w:r>
      <w:r w:rsidRPr="00435BC3">
        <w:rPr>
          <w:rFonts w:asciiTheme="minorHAnsi" w:hAnsiTheme="minorHAnsi" w:cstheme="minorHAnsi"/>
        </w:rPr>
        <w:lastRenderedPageBreak/>
        <w:t>category Government LIS schemes. In total actual sales were lower by 5400 MU’s than the projected sales.</w:t>
      </w:r>
    </w:p>
    <w:p w:rsidR="00924CD4" w:rsidRPr="00435BC3" w:rsidRDefault="00924CD4" w:rsidP="00693AD4">
      <w:pPr>
        <w:jc w:val="both"/>
        <w:rPr>
          <w:rFonts w:asciiTheme="minorHAnsi" w:hAnsiTheme="minorHAnsi" w:cstheme="minorHAnsi"/>
        </w:rPr>
      </w:pPr>
    </w:p>
    <w:p w:rsidR="00924CD4" w:rsidRPr="00435BC3" w:rsidRDefault="00924CD4" w:rsidP="00924CD4">
      <w:pPr>
        <w:jc w:val="both"/>
        <w:rPr>
          <w:rFonts w:asciiTheme="minorHAnsi" w:hAnsiTheme="minorHAnsi" w:cstheme="minorHAnsi"/>
          <w:b/>
          <w:bCs/>
          <w:u w:val="single"/>
        </w:rPr>
      </w:pPr>
      <w:r w:rsidRPr="00435BC3">
        <w:rPr>
          <w:rFonts w:asciiTheme="minorHAnsi" w:hAnsiTheme="minorHAnsi" w:cstheme="minorHAnsi"/>
          <w:b/>
          <w:bCs/>
          <w:u w:val="single"/>
        </w:rPr>
        <w:t>FY 2022-23</w:t>
      </w:r>
    </w:p>
    <w:p w:rsidR="00924CD4" w:rsidRPr="00435BC3" w:rsidRDefault="00924CD4" w:rsidP="00924CD4">
      <w:pPr>
        <w:jc w:val="both"/>
        <w:rPr>
          <w:rFonts w:asciiTheme="minorHAnsi" w:hAnsiTheme="minorHAnsi" w:cstheme="minorHAnsi"/>
          <w:u w:val="single"/>
        </w:rPr>
      </w:pPr>
      <w:r w:rsidRPr="00435BC3">
        <w:rPr>
          <w:rFonts w:asciiTheme="minorHAnsi" w:hAnsiTheme="minorHAnsi" w:cstheme="minorHAnsi"/>
          <w:u w:val="single"/>
        </w:rPr>
        <w:t>TSSPDCL</w:t>
      </w:r>
    </w:p>
    <w:p w:rsidR="00254B81" w:rsidRPr="00435BC3" w:rsidRDefault="00254B81" w:rsidP="00254B81">
      <w:pPr>
        <w:spacing w:after="0"/>
        <w:jc w:val="right"/>
        <w:rPr>
          <w:rFonts w:asciiTheme="minorHAnsi" w:hAnsiTheme="minorHAnsi" w:cstheme="minorHAnsi"/>
        </w:rPr>
      </w:pPr>
      <w:r w:rsidRPr="00435BC3">
        <w:rPr>
          <w:rFonts w:asciiTheme="minorHAnsi" w:hAnsiTheme="minorHAnsi" w:cstheme="minorHAnsi"/>
        </w:rPr>
        <w:t>Figures in MU</w:t>
      </w:r>
    </w:p>
    <w:tbl>
      <w:tblPr>
        <w:tblW w:w="0" w:type="auto"/>
        <w:tblLayout w:type="fixed"/>
        <w:tblLook w:val="04A0"/>
      </w:tblPr>
      <w:tblGrid>
        <w:gridCol w:w="4452"/>
        <w:gridCol w:w="1224"/>
        <w:gridCol w:w="1225"/>
        <w:gridCol w:w="1224"/>
        <w:gridCol w:w="1225"/>
      </w:tblGrid>
      <w:tr w:rsidR="00FB56AC" w:rsidRPr="00276760" w:rsidTr="00346E72">
        <w:trPr>
          <w:trHeight w:val="20"/>
          <w:tblHeader/>
        </w:trPr>
        <w:tc>
          <w:tcPr>
            <w:tcW w:w="445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eastAsia="Times New Roman" w:hAnsiTheme="minorHAnsi" w:cstheme="minorHAnsi"/>
                <w:b/>
                <w:bCs/>
                <w:color w:val="000000"/>
                <w:szCs w:val="24"/>
              </w:rPr>
              <w:t xml:space="preserve">Consumer Category </w:t>
            </w:r>
          </w:p>
        </w:tc>
        <w:tc>
          <w:tcPr>
            <w:tcW w:w="1224" w:type="dxa"/>
            <w:tcBorders>
              <w:top w:val="single" w:sz="4" w:space="0" w:color="auto"/>
              <w:left w:val="nil"/>
              <w:bottom w:val="single" w:sz="4" w:space="0" w:color="auto"/>
              <w:right w:val="single" w:sz="4" w:space="0" w:color="auto"/>
            </w:tcBorders>
            <w:shd w:val="clear" w:color="000000" w:fill="D9D9D9"/>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eastAsia="Times New Roman" w:hAnsiTheme="minorHAnsi" w:cstheme="minorHAnsi"/>
                <w:b/>
                <w:bCs/>
                <w:color w:val="000000"/>
                <w:szCs w:val="24"/>
              </w:rPr>
              <w:t>Filed</w:t>
            </w:r>
          </w:p>
        </w:tc>
        <w:tc>
          <w:tcPr>
            <w:tcW w:w="1225" w:type="dxa"/>
            <w:tcBorders>
              <w:top w:val="single" w:sz="4" w:space="0" w:color="auto"/>
              <w:left w:val="nil"/>
              <w:bottom w:val="single" w:sz="4" w:space="0" w:color="auto"/>
              <w:right w:val="single" w:sz="4" w:space="0" w:color="auto"/>
            </w:tcBorders>
            <w:shd w:val="clear" w:color="000000" w:fill="D9D9D9"/>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eastAsia="Times New Roman" w:hAnsiTheme="minorHAnsi" w:cstheme="minorHAnsi"/>
                <w:b/>
                <w:bCs/>
                <w:color w:val="000000"/>
                <w:szCs w:val="24"/>
              </w:rPr>
              <w:t>Approved</w:t>
            </w:r>
          </w:p>
        </w:tc>
        <w:tc>
          <w:tcPr>
            <w:tcW w:w="1224" w:type="dxa"/>
            <w:tcBorders>
              <w:top w:val="single" w:sz="4" w:space="0" w:color="auto"/>
              <w:left w:val="nil"/>
              <w:bottom w:val="single" w:sz="4" w:space="0" w:color="auto"/>
              <w:right w:val="single" w:sz="4" w:space="0" w:color="auto"/>
            </w:tcBorders>
            <w:shd w:val="clear" w:color="000000" w:fill="D9D9D9"/>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eastAsia="Times New Roman" w:hAnsiTheme="minorHAnsi" w:cstheme="minorHAnsi"/>
                <w:b/>
                <w:bCs/>
                <w:color w:val="000000"/>
                <w:szCs w:val="24"/>
              </w:rPr>
              <w:t>Actual</w:t>
            </w:r>
          </w:p>
        </w:tc>
        <w:tc>
          <w:tcPr>
            <w:tcW w:w="1225" w:type="dxa"/>
            <w:tcBorders>
              <w:top w:val="single" w:sz="4" w:space="0" w:color="auto"/>
              <w:left w:val="nil"/>
              <w:bottom w:val="single" w:sz="4" w:space="0" w:color="auto"/>
              <w:right w:val="single" w:sz="4" w:space="0" w:color="auto"/>
            </w:tcBorders>
            <w:shd w:val="clear" w:color="000000" w:fill="D9D9D9"/>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eastAsia="Times New Roman" w:hAnsiTheme="minorHAnsi" w:cstheme="minorHAnsi"/>
                <w:b/>
                <w:bCs/>
                <w:color w:val="000000"/>
                <w:szCs w:val="24"/>
              </w:rPr>
              <w:t>Variance (Approved-Actual)</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000000" w:fill="CCFFCC"/>
            <w:noWrap/>
            <w:vAlign w:val="center"/>
            <w:hideMark/>
          </w:tcPr>
          <w:p w:rsidR="00FB56AC" w:rsidRPr="00276760" w:rsidRDefault="00FB56AC" w:rsidP="00346E72">
            <w:pPr>
              <w:spacing w:after="0" w:line="240" w:lineRule="auto"/>
              <w:rPr>
                <w:rFonts w:asciiTheme="minorHAnsi" w:eastAsia="Times New Roman" w:hAnsiTheme="minorHAnsi" w:cstheme="minorHAnsi"/>
                <w:b/>
                <w:bCs/>
                <w:szCs w:val="24"/>
              </w:rPr>
            </w:pPr>
            <w:r w:rsidRPr="00276760">
              <w:rPr>
                <w:rFonts w:asciiTheme="minorHAnsi" w:eastAsia="Times New Roman" w:hAnsiTheme="minorHAnsi" w:cstheme="minorHAnsi"/>
                <w:b/>
                <w:bCs/>
                <w:szCs w:val="24"/>
              </w:rPr>
              <w:t>LT Category</w:t>
            </w:r>
          </w:p>
        </w:tc>
        <w:tc>
          <w:tcPr>
            <w:tcW w:w="1224" w:type="dxa"/>
            <w:tcBorders>
              <w:top w:val="nil"/>
              <w:left w:val="nil"/>
              <w:bottom w:val="single" w:sz="4" w:space="0" w:color="auto"/>
              <w:right w:val="single" w:sz="4" w:space="0" w:color="auto"/>
            </w:tcBorders>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eastAsia="Times New Roman" w:hAnsiTheme="minorHAnsi" w:cstheme="minorHAnsi"/>
                <w:b/>
                <w:szCs w:val="24"/>
              </w:rPr>
              <w:t>25246</w:t>
            </w:r>
          </w:p>
        </w:tc>
        <w:tc>
          <w:tcPr>
            <w:tcW w:w="1225" w:type="dxa"/>
            <w:tcBorders>
              <w:top w:val="nil"/>
              <w:left w:val="nil"/>
              <w:bottom w:val="single" w:sz="4" w:space="0" w:color="auto"/>
              <w:right w:val="single" w:sz="4" w:space="0" w:color="auto"/>
            </w:tcBorders>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eastAsia="Times New Roman" w:hAnsiTheme="minorHAnsi" w:cstheme="minorHAnsi"/>
                <w:b/>
                <w:szCs w:val="24"/>
              </w:rPr>
              <w:t>25789</w:t>
            </w:r>
          </w:p>
        </w:tc>
        <w:tc>
          <w:tcPr>
            <w:tcW w:w="1224" w:type="dxa"/>
            <w:tcBorders>
              <w:top w:val="nil"/>
              <w:left w:val="nil"/>
              <w:bottom w:val="single" w:sz="4" w:space="0" w:color="auto"/>
              <w:right w:val="single" w:sz="4" w:space="0" w:color="auto"/>
            </w:tcBorders>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hAnsiTheme="minorHAnsi" w:cstheme="minorHAnsi"/>
                <w:b/>
                <w:bCs/>
                <w:color w:val="000000"/>
                <w:szCs w:val="24"/>
              </w:rPr>
              <w:t>26751</w:t>
            </w:r>
          </w:p>
        </w:tc>
        <w:tc>
          <w:tcPr>
            <w:tcW w:w="1225" w:type="dxa"/>
            <w:tcBorders>
              <w:top w:val="nil"/>
              <w:left w:val="nil"/>
              <w:bottom w:val="single" w:sz="4" w:space="0" w:color="auto"/>
              <w:right w:val="single" w:sz="4" w:space="0" w:color="auto"/>
            </w:tcBorders>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eastAsia="Times New Roman" w:hAnsiTheme="minorHAnsi" w:cstheme="minorHAnsi"/>
                <w:b/>
                <w:szCs w:val="24"/>
              </w:rPr>
              <w:t>-961</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I - Domestic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9884</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10722</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9952</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770</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II - Non-domestic/Commercial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2639</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3111</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3077</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34</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III </w:t>
            </w:r>
            <w:r>
              <w:rPr>
                <w:rFonts w:asciiTheme="minorHAnsi" w:eastAsia="Times New Roman" w:hAnsiTheme="minorHAnsi" w:cstheme="minorHAnsi"/>
                <w:szCs w:val="24"/>
              </w:rPr>
              <w:t>–</w:t>
            </w:r>
            <w:r w:rsidRPr="00276760">
              <w:rPr>
                <w:rFonts w:asciiTheme="minorHAnsi" w:eastAsia="Times New Roman" w:hAnsiTheme="minorHAnsi" w:cstheme="minorHAnsi"/>
                <w:szCs w:val="24"/>
              </w:rPr>
              <w:t xml:space="preserve"> Industr</w:t>
            </w:r>
            <w:r>
              <w:rPr>
                <w:rFonts w:asciiTheme="minorHAnsi" w:eastAsia="Times New Roman" w:hAnsiTheme="minorHAnsi" w:cstheme="minorHAnsi"/>
                <w:szCs w:val="24"/>
              </w:rPr>
              <w:t>y</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930</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906</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933</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-28</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IV - Cottage Industries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10</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9</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10</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0</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V - Agriculture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11182</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10391</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12127</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-1736</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VI - St. Lighting &amp; PWS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473</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484</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467</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17</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VII - General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57</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94</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88</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6</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VIII-Temporary Supply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71</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71</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96</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-25</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IX- </w:t>
            </w:r>
            <w:proofErr w:type="spellStart"/>
            <w:r w:rsidRPr="00276760">
              <w:rPr>
                <w:rFonts w:asciiTheme="minorHAnsi" w:eastAsia="Times New Roman" w:hAnsiTheme="minorHAnsi" w:cstheme="minorHAnsi"/>
                <w:szCs w:val="24"/>
              </w:rPr>
              <w:t>Evs</w:t>
            </w:r>
            <w:proofErr w:type="spellEnd"/>
            <w:r w:rsidRPr="00276760">
              <w:rPr>
                <w:rFonts w:asciiTheme="minorHAnsi" w:eastAsia="Times New Roman" w:hAnsiTheme="minorHAnsi" w:cstheme="minorHAnsi"/>
                <w:szCs w:val="24"/>
              </w:rPr>
              <w:t xml:space="preserve"> </w:t>
            </w:r>
            <w:r>
              <w:rPr>
                <w:rFonts w:asciiTheme="minorHAnsi" w:eastAsia="Times New Roman" w:hAnsiTheme="minorHAnsi" w:cstheme="minorHAnsi"/>
                <w:szCs w:val="24"/>
              </w:rPr>
              <w:t>Charging Station</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1</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000000" w:fill="CCFFCC"/>
            <w:noWrap/>
            <w:vAlign w:val="center"/>
            <w:hideMark/>
          </w:tcPr>
          <w:p w:rsidR="00FB56AC" w:rsidRPr="00276760" w:rsidRDefault="00FB56AC" w:rsidP="00346E72">
            <w:pPr>
              <w:spacing w:after="0" w:line="240" w:lineRule="auto"/>
              <w:rPr>
                <w:rFonts w:asciiTheme="minorHAnsi" w:eastAsia="Times New Roman" w:hAnsiTheme="minorHAnsi" w:cstheme="minorHAnsi"/>
                <w:b/>
                <w:bCs/>
                <w:szCs w:val="24"/>
              </w:rPr>
            </w:pPr>
            <w:r w:rsidRPr="00276760">
              <w:rPr>
                <w:rFonts w:asciiTheme="minorHAnsi" w:eastAsia="Times New Roman" w:hAnsiTheme="minorHAnsi" w:cstheme="minorHAnsi"/>
                <w:b/>
                <w:bCs/>
                <w:szCs w:val="24"/>
              </w:rPr>
              <w:t>HIGH TENSION</w:t>
            </w:r>
          </w:p>
        </w:tc>
        <w:tc>
          <w:tcPr>
            <w:tcW w:w="1224" w:type="dxa"/>
            <w:tcBorders>
              <w:top w:val="nil"/>
              <w:left w:val="nil"/>
              <w:bottom w:val="single" w:sz="4" w:space="0" w:color="auto"/>
              <w:right w:val="single" w:sz="4" w:space="0" w:color="auto"/>
            </w:tcBorders>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eastAsia="Times New Roman" w:hAnsiTheme="minorHAnsi" w:cstheme="minorHAnsi"/>
                <w:b/>
                <w:szCs w:val="24"/>
              </w:rPr>
              <w:t>23576</w:t>
            </w:r>
          </w:p>
        </w:tc>
        <w:tc>
          <w:tcPr>
            <w:tcW w:w="1225" w:type="dxa"/>
            <w:tcBorders>
              <w:top w:val="nil"/>
              <w:left w:val="nil"/>
              <w:bottom w:val="single" w:sz="4" w:space="0" w:color="auto"/>
              <w:right w:val="single" w:sz="4" w:space="0" w:color="auto"/>
            </w:tcBorders>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hAnsiTheme="minorHAnsi" w:cstheme="minorHAnsi"/>
                <w:b/>
                <w:bCs/>
                <w:szCs w:val="24"/>
              </w:rPr>
              <w:t>22752</w:t>
            </w:r>
          </w:p>
        </w:tc>
        <w:tc>
          <w:tcPr>
            <w:tcW w:w="1224" w:type="dxa"/>
            <w:tcBorders>
              <w:top w:val="nil"/>
              <w:left w:val="nil"/>
              <w:bottom w:val="single" w:sz="4" w:space="0" w:color="auto"/>
              <w:right w:val="single" w:sz="4" w:space="0" w:color="auto"/>
            </w:tcBorders>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hAnsiTheme="minorHAnsi" w:cstheme="minorHAnsi"/>
                <w:b/>
                <w:bCs/>
                <w:color w:val="000000"/>
                <w:szCs w:val="24"/>
              </w:rPr>
              <w:t>20800</w:t>
            </w:r>
          </w:p>
        </w:tc>
        <w:tc>
          <w:tcPr>
            <w:tcW w:w="1225" w:type="dxa"/>
            <w:tcBorders>
              <w:top w:val="nil"/>
              <w:left w:val="nil"/>
              <w:bottom w:val="single" w:sz="4" w:space="0" w:color="auto"/>
              <w:right w:val="single" w:sz="4" w:space="0" w:color="auto"/>
            </w:tcBorders>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hAnsiTheme="minorHAnsi" w:cstheme="minorHAnsi"/>
                <w:b/>
                <w:bCs/>
                <w:szCs w:val="24"/>
              </w:rPr>
              <w:t>1952</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vAlign w:val="center"/>
            <w:hideMark/>
          </w:tcPr>
          <w:p w:rsidR="00FB56AC" w:rsidRPr="00276760" w:rsidRDefault="00FB56AC" w:rsidP="00346E72">
            <w:pPr>
              <w:spacing w:after="0" w:line="240" w:lineRule="auto"/>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 xml:space="preserve"> HT I: </w:t>
            </w:r>
            <w:r>
              <w:rPr>
                <w:rFonts w:asciiTheme="minorHAnsi" w:eastAsia="Times New Roman" w:hAnsiTheme="minorHAnsi" w:cstheme="minorHAnsi"/>
                <w:color w:val="000000"/>
                <w:szCs w:val="24"/>
              </w:rPr>
              <w:t>Industry</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13864</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13935</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14262</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-328</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vAlign w:val="center"/>
            <w:hideMark/>
          </w:tcPr>
          <w:p w:rsidR="00FB56AC" w:rsidRPr="00276760" w:rsidRDefault="00FB56AC" w:rsidP="00346E72">
            <w:pPr>
              <w:spacing w:after="0" w:line="240" w:lineRule="auto"/>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 xml:space="preserve"> HT II: Others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2794</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3261</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3134</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127</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vAlign w:val="center"/>
            <w:hideMark/>
          </w:tcPr>
          <w:p w:rsidR="00FB56AC" w:rsidRPr="00276760" w:rsidRDefault="00FB56AC" w:rsidP="00346E72">
            <w:pPr>
              <w:spacing w:after="0" w:line="240" w:lineRule="auto"/>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 xml:space="preserve"> HT III: Airports, Bus Stations and Railway Stations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86</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114</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65</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48</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vAlign w:val="center"/>
            <w:hideMark/>
          </w:tcPr>
          <w:p w:rsidR="00FB56AC" w:rsidRPr="00276760" w:rsidRDefault="00FB56AC" w:rsidP="00346E72">
            <w:pPr>
              <w:spacing w:after="0" w:line="240" w:lineRule="auto"/>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 xml:space="preserve"> HT IV</w:t>
            </w:r>
            <w:r>
              <w:rPr>
                <w:rFonts w:asciiTheme="minorHAnsi" w:eastAsia="Times New Roman" w:hAnsiTheme="minorHAnsi" w:cstheme="minorHAnsi"/>
                <w:color w:val="000000"/>
                <w:szCs w:val="24"/>
              </w:rPr>
              <w:t>: Irrigation &amp; Agriculture and CPW Schemes</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5948</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3862</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2352</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1510</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vAlign w:val="center"/>
            <w:hideMark/>
          </w:tcPr>
          <w:p w:rsidR="00FB56AC" w:rsidRPr="00276760" w:rsidRDefault="00FB56AC" w:rsidP="00346E72">
            <w:pPr>
              <w:spacing w:after="0" w:line="240" w:lineRule="auto"/>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 xml:space="preserve"> HT V: Railway Traction and HMR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448</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1139</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475</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664</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vAlign w:val="center"/>
            <w:hideMark/>
          </w:tcPr>
          <w:p w:rsidR="00FB56AC" w:rsidRPr="00276760" w:rsidRDefault="00FB56AC" w:rsidP="00346E72">
            <w:pPr>
              <w:spacing w:after="0" w:line="240" w:lineRule="auto"/>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 xml:space="preserve"> HT VI: Townships &amp; Residential Colonies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273</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276</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308</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-32</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vAlign w:val="center"/>
            <w:hideMark/>
          </w:tcPr>
          <w:p w:rsidR="00FB56AC" w:rsidRPr="00276760" w:rsidRDefault="00FB56AC" w:rsidP="00346E72">
            <w:pPr>
              <w:spacing w:after="0" w:line="240" w:lineRule="auto"/>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 xml:space="preserve"> HT VII: Temporary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151</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151</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194</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-43</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vAlign w:val="center"/>
            <w:hideMark/>
          </w:tcPr>
          <w:p w:rsidR="00FB56AC" w:rsidRPr="00276760" w:rsidRDefault="00FB56AC" w:rsidP="00346E72">
            <w:pPr>
              <w:spacing w:after="0" w:line="240" w:lineRule="auto"/>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 xml:space="preserve"> HT VIII RESCOs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0</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0</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0</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0</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auto" w:fill="auto"/>
            <w:vAlign w:val="center"/>
            <w:hideMark/>
          </w:tcPr>
          <w:p w:rsidR="00FB56AC" w:rsidRPr="00276760" w:rsidRDefault="00FB56AC" w:rsidP="00346E72">
            <w:pPr>
              <w:spacing w:after="0" w:line="240" w:lineRule="auto"/>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 xml:space="preserve"> HT IX: E</w:t>
            </w:r>
            <w:r>
              <w:rPr>
                <w:rFonts w:asciiTheme="minorHAnsi" w:eastAsia="Times New Roman" w:hAnsiTheme="minorHAnsi" w:cstheme="minorHAnsi"/>
                <w:color w:val="000000"/>
                <w:szCs w:val="24"/>
              </w:rPr>
              <w:t xml:space="preserve">V </w:t>
            </w:r>
            <w:r w:rsidRPr="00276760">
              <w:rPr>
                <w:rFonts w:asciiTheme="minorHAnsi" w:eastAsia="Times New Roman" w:hAnsiTheme="minorHAnsi" w:cstheme="minorHAnsi"/>
                <w:color w:val="000000"/>
                <w:szCs w:val="24"/>
              </w:rPr>
              <w:t xml:space="preserve">Charging Stations </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14</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14</w:t>
            </w:r>
          </w:p>
        </w:tc>
        <w:tc>
          <w:tcPr>
            <w:tcW w:w="1224"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6</w:t>
            </w:r>
          </w:p>
        </w:tc>
        <w:tc>
          <w:tcPr>
            <w:tcW w:w="1225" w:type="dxa"/>
            <w:tcBorders>
              <w:top w:val="nil"/>
              <w:left w:val="nil"/>
              <w:bottom w:val="single" w:sz="4" w:space="0" w:color="auto"/>
              <w:right w:val="single" w:sz="4" w:space="0" w:color="auto"/>
            </w:tcBorders>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eastAsia="Times New Roman" w:hAnsiTheme="minorHAnsi" w:cstheme="minorHAnsi"/>
                <w:color w:val="000000"/>
                <w:szCs w:val="24"/>
              </w:rPr>
              <w:t>8</w:t>
            </w:r>
          </w:p>
        </w:tc>
      </w:tr>
      <w:tr w:rsidR="00FB56AC" w:rsidRPr="00276760" w:rsidTr="00346E72">
        <w:trPr>
          <w:trHeight w:val="20"/>
        </w:trPr>
        <w:tc>
          <w:tcPr>
            <w:tcW w:w="4452" w:type="dxa"/>
            <w:tcBorders>
              <w:top w:val="nil"/>
              <w:left w:val="single" w:sz="4" w:space="0" w:color="auto"/>
              <w:bottom w:val="single" w:sz="4" w:space="0" w:color="auto"/>
              <w:right w:val="single" w:sz="4" w:space="0" w:color="auto"/>
            </w:tcBorders>
            <w:shd w:val="clear" w:color="000000" w:fill="AEAAAA"/>
            <w:noWrap/>
            <w:vAlign w:val="center"/>
            <w:hideMark/>
          </w:tcPr>
          <w:p w:rsidR="00FB56AC" w:rsidRPr="00276760" w:rsidRDefault="00FB56AC" w:rsidP="00346E72">
            <w:pPr>
              <w:spacing w:after="0" w:line="240" w:lineRule="auto"/>
              <w:rPr>
                <w:rFonts w:asciiTheme="minorHAnsi" w:eastAsia="Times New Roman" w:hAnsiTheme="minorHAnsi" w:cstheme="minorHAnsi"/>
                <w:b/>
                <w:bCs/>
                <w:szCs w:val="24"/>
              </w:rPr>
            </w:pPr>
            <w:r w:rsidRPr="00276760">
              <w:rPr>
                <w:rFonts w:asciiTheme="minorHAnsi" w:eastAsia="Times New Roman" w:hAnsiTheme="minorHAnsi" w:cstheme="minorHAnsi"/>
                <w:b/>
                <w:bCs/>
                <w:szCs w:val="24"/>
              </w:rPr>
              <w:t>TOTAL( LT + HT)</w:t>
            </w:r>
          </w:p>
        </w:tc>
        <w:tc>
          <w:tcPr>
            <w:tcW w:w="1224" w:type="dxa"/>
            <w:tcBorders>
              <w:top w:val="nil"/>
              <w:left w:val="nil"/>
              <w:bottom w:val="single" w:sz="4" w:space="0" w:color="auto"/>
              <w:right w:val="single" w:sz="4" w:space="0" w:color="auto"/>
            </w:tcBorders>
            <w:shd w:val="clear" w:color="000000" w:fill="AEAAAA"/>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hAnsiTheme="minorHAnsi" w:cstheme="minorHAnsi"/>
                <w:b/>
                <w:bCs/>
                <w:szCs w:val="24"/>
              </w:rPr>
              <w:t>48823</w:t>
            </w:r>
          </w:p>
        </w:tc>
        <w:tc>
          <w:tcPr>
            <w:tcW w:w="1225" w:type="dxa"/>
            <w:tcBorders>
              <w:top w:val="nil"/>
              <w:left w:val="nil"/>
              <w:bottom w:val="single" w:sz="4" w:space="0" w:color="auto"/>
              <w:right w:val="single" w:sz="4" w:space="0" w:color="auto"/>
            </w:tcBorders>
            <w:shd w:val="clear" w:color="000000" w:fill="AEAAAA"/>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hAnsiTheme="minorHAnsi" w:cstheme="minorHAnsi"/>
                <w:b/>
                <w:bCs/>
                <w:szCs w:val="24"/>
              </w:rPr>
              <w:t>48541</w:t>
            </w:r>
          </w:p>
        </w:tc>
        <w:tc>
          <w:tcPr>
            <w:tcW w:w="1224" w:type="dxa"/>
            <w:tcBorders>
              <w:top w:val="nil"/>
              <w:left w:val="nil"/>
              <w:bottom w:val="single" w:sz="4" w:space="0" w:color="auto"/>
              <w:right w:val="single" w:sz="4" w:space="0" w:color="auto"/>
            </w:tcBorders>
            <w:shd w:val="clear" w:color="000000" w:fill="AEAAAA"/>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eastAsia="Times New Roman" w:hAnsiTheme="minorHAnsi" w:cstheme="minorHAnsi"/>
                <w:b/>
                <w:color w:val="000000"/>
                <w:szCs w:val="24"/>
              </w:rPr>
              <w:t>47550</w:t>
            </w:r>
          </w:p>
        </w:tc>
        <w:tc>
          <w:tcPr>
            <w:tcW w:w="1225" w:type="dxa"/>
            <w:tcBorders>
              <w:top w:val="nil"/>
              <w:left w:val="nil"/>
              <w:bottom w:val="single" w:sz="4" w:space="0" w:color="auto"/>
              <w:right w:val="single" w:sz="4" w:space="0" w:color="auto"/>
            </w:tcBorders>
            <w:shd w:val="clear" w:color="000000" w:fill="AEAAAA"/>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eastAsia="Times New Roman" w:hAnsiTheme="minorHAnsi" w:cstheme="minorHAnsi"/>
                <w:b/>
                <w:szCs w:val="24"/>
              </w:rPr>
              <w:t>990</w:t>
            </w:r>
          </w:p>
        </w:tc>
      </w:tr>
    </w:tbl>
    <w:p w:rsidR="001333B1" w:rsidRPr="00435BC3" w:rsidRDefault="001333B1" w:rsidP="00924CD4">
      <w:pPr>
        <w:jc w:val="both"/>
        <w:rPr>
          <w:rFonts w:asciiTheme="minorHAnsi" w:hAnsiTheme="minorHAnsi" w:cstheme="minorHAnsi"/>
          <w:u w:val="single"/>
        </w:rPr>
      </w:pPr>
    </w:p>
    <w:p w:rsidR="00565750" w:rsidRPr="00435BC3" w:rsidRDefault="00565750" w:rsidP="00565750">
      <w:pPr>
        <w:jc w:val="both"/>
        <w:rPr>
          <w:rFonts w:asciiTheme="minorHAnsi" w:hAnsiTheme="minorHAnsi" w:cstheme="minorHAnsi"/>
        </w:rPr>
      </w:pPr>
      <w:r w:rsidRPr="00435BC3">
        <w:rPr>
          <w:rFonts w:asciiTheme="minorHAnsi" w:hAnsiTheme="minorHAnsi" w:cstheme="minorHAnsi"/>
        </w:rPr>
        <w:t xml:space="preserve">In the case of TSSPDCL, we can observe, actual LT sales were </w:t>
      </w:r>
      <w:r w:rsidR="00AA055C">
        <w:rPr>
          <w:rFonts w:asciiTheme="minorHAnsi" w:hAnsiTheme="minorHAnsi" w:cstheme="minorHAnsi"/>
        </w:rPr>
        <w:t xml:space="preserve">lower </w:t>
      </w:r>
      <w:r w:rsidRPr="00435BC3">
        <w:rPr>
          <w:rFonts w:asciiTheme="minorHAnsi" w:hAnsiTheme="minorHAnsi" w:cstheme="minorHAnsi"/>
        </w:rPr>
        <w:t xml:space="preserve">by </w:t>
      </w:r>
      <w:r w:rsidR="00AA055C">
        <w:rPr>
          <w:rFonts w:asciiTheme="minorHAnsi" w:hAnsiTheme="minorHAnsi" w:cstheme="minorHAnsi"/>
        </w:rPr>
        <w:t xml:space="preserve">961 </w:t>
      </w:r>
      <w:r w:rsidRPr="00435BC3">
        <w:rPr>
          <w:rFonts w:asciiTheme="minorHAnsi" w:hAnsiTheme="minorHAnsi" w:cstheme="minorHAnsi"/>
        </w:rPr>
        <w:t xml:space="preserve">MU’s than the </w:t>
      </w:r>
      <w:r w:rsidR="00AA055C">
        <w:rPr>
          <w:rFonts w:asciiTheme="minorHAnsi" w:hAnsiTheme="minorHAnsi" w:cstheme="minorHAnsi"/>
        </w:rPr>
        <w:t xml:space="preserve">approved </w:t>
      </w:r>
      <w:r w:rsidRPr="00435BC3">
        <w:rPr>
          <w:rFonts w:asciiTheme="minorHAnsi" w:hAnsiTheme="minorHAnsi" w:cstheme="minorHAnsi"/>
        </w:rPr>
        <w:t xml:space="preserve">. For HT sales actual sales were lower by </w:t>
      </w:r>
      <w:r w:rsidR="00C224BD">
        <w:rPr>
          <w:rFonts w:asciiTheme="minorHAnsi" w:hAnsiTheme="minorHAnsi" w:cstheme="minorHAnsi"/>
        </w:rPr>
        <w:t xml:space="preserve">1951 </w:t>
      </w:r>
      <w:r w:rsidRPr="00435BC3">
        <w:rPr>
          <w:rFonts w:asciiTheme="minorHAnsi" w:hAnsiTheme="minorHAnsi" w:cstheme="minorHAnsi"/>
        </w:rPr>
        <w:t xml:space="preserve">MU than the quantum </w:t>
      </w:r>
      <w:r w:rsidR="00C224BD">
        <w:rPr>
          <w:rFonts w:asciiTheme="minorHAnsi" w:hAnsiTheme="minorHAnsi" w:cstheme="minorHAnsi"/>
        </w:rPr>
        <w:t>approved in Tariff Order</w:t>
      </w:r>
      <w:r w:rsidRPr="00435BC3">
        <w:rPr>
          <w:rFonts w:asciiTheme="minorHAnsi" w:hAnsiTheme="minorHAnsi" w:cstheme="minorHAnsi"/>
        </w:rPr>
        <w:t xml:space="preserve">. In total actual sales were lower by </w:t>
      </w:r>
      <w:r w:rsidR="00D07F16">
        <w:rPr>
          <w:rFonts w:asciiTheme="minorHAnsi" w:hAnsiTheme="minorHAnsi" w:cstheme="minorHAnsi"/>
        </w:rPr>
        <w:t xml:space="preserve">990 </w:t>
      </w:r>
      <w:r w:rsidRPr="00435BC3">
        <w:rPr>
          <w:rFonts w:asciiTheme="minorHAnsi" w:hAnsiTheme="minorHAnsi" w:cstheme="minorHAnsi"/>
        </w:rPr>
        <w:t>MU’s than the projected sales.</w:t>
      </w:r>
    </w:p>
    <w:p w:rsidR="00777C34" w:rsidRDefault="00777C34" w:rsidP="001333B1">
      <w:pPr>
        <w:jc w:val="both"/>
        <w:rPr>
          <w:rFonts w:asciiTheme="minorHAnsi" w:hAnsiTheme="minorHAnsi" w:cstheme="minorHAnsi"/>
          <w:u w:val="single"/>
        </w:rPr>
      </w:pPr>
    </w:p>
    <w:p w:rsidR="00777C34" w:rsidRDefault="00777C34" w:rsidP="001333B1">
      <w:pPr>
        <w:jc w:val="both"/>
        <w:rPr>
          <w:rFonts w:asciiTheme="minorHAnsi" w:hAnsiTheme="minorHAnsi" w:cstheme="minorHAnsi"/>
          <w:u w:val="single"/>
        </w:rPr>
      </w:pPr>
    </w:p>
    <w:p w:rsidR="001333B1" w:rsidRPr="00435BC3" w:rsidRDefault="001333B1" w:rsidP="001333B1">
      <w:pPr>
        <w:jc w:val="both"/>
        <w:rPr>
          <w:rFonts w:asciiTheme="minorHAnsi" w:hAnsiTheme="minorHAnsi" w:cstheme="minorHAnsi"/>
          <w:u w:val="single"/>
        </w:rPr>
      </w:pPr>
      <w:r w:rsidRPr="00435BC3">
        <w:rPr>
          <w:rFonts w:asciiTheme="minorHAnsi" w:hAnsiTheme="minorHAnsi" w:cstheme="minorHAnsi"/>
          <w:u w:val="single"/>
        </w:rPr>
        <w:lastRenderedPageBreak/>
        <w:t>TSNPDCL</w:t>
      </w:r>
    </w:p>
    <w:p w:rsidR="00254B81" w:rsidRPr="00435BC3" w:rsidRDefault="00254B81" w:rsidP="00254B81">
      <w:pPr>
        <w:spacing w:after="0"/>
        <w:jc w:val="right"/>
        <w:rPr>
          <w:rFonts w:asciiTheme="minorHAnsi" w:hAnsiTheme="minorHAnsi" w:cstheme="minorHAnsi"/>
        </w:rPr>
      </w:pPr>
      <w:r w:rsidRPr="00435BC3">
        <w:rPr>
          <w:rFonts w:asciiTheme="minorHAnsi" w:hAnsiTheme="minorHAnsi" w:cstheme="minorHAnsi"/>
        </w:rPr>
        <w:t>Figures in 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40"/>
        <w:gridCol w:w="1227"/>
        <w:gridCol w:w="1228"/>
        <w:gridCol w:w="1227"/>
        <w:gridCol w:w="1228"/>
      </w:tblGrid>
      <w:tr w:rsidR="00FB56AC" w:rsidRPr="00276760" w:rsidTr="00346E72">
        <w:trPr>
          <w:trHeight w:val="20"/>
          <w:tblHeader/>
        </w:trPr>
        <w:tc>
          <w:tcPr>
            <w:tcW w:w="4440" w:type="dxa"/>
            <w:shd w:val="clear" w:color="000000" w:fill="D9D9D9"/>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eastAsia="Times New Roman" w:hAnsiTheme="minorHAnsi" w:cstheme="minorHAnsi"/>
                <w:b/>
                <w:bCs/>
                <w:color w:val="000000"/>
                <w:szCs w:val="24"/>
              </w:rPr>
              <w:t xml:space="preserve">Consumer Category </w:t>
            </w:r>
          </w:p>
        </w:tc>
        <w:tc>
          <w:tcPr>
            <w:tcW w:w="1227" w:type="dxa"/>
            <w:shd w:val="clear" w:color="000000" w:fill="D9D9D9"/>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eastAsia="Times New Roman" w:hAnsiTheme="minorHAnsi" w:cstheme="minorHAnsi"/>
                <w:b/>
                <w:bCs/>
                <w:color w:val="000000"/>
                <w:szCs w:val="24"/>
              </w:rPr>
              <w:t xml:space="preserve"> Filed </w:t>
            </w:r>
          </w:p>
        </w:tc>
        <w:tc>
          <w:tcPr>
            <w:tcW w:w="1228" w:type="dxa"/>
            <w:shd w:val="clear" w:color="000000" w:fill="D9D9D9"/>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eastAsia="Times New Roman" w:hAnsiTheme="minorHAnsi" w:cstheme="minorHAnsi"/>
                <w:b/>
                <w:bCs/>
                <w:color w:val="000000"/>
                <w:szCs w:val="24"/>
              </w:rPr>
              <w:t xml:space="preserve"> Approved </w:t>
            </w:r>
          </w:p>
        </w:tc>
        <w:tc>
          <w:tcPr>
            <w:tcW w:w="1227" w:type="dxa"/>
            <w:shd w:val="clear" w:color="000000" w:fill="D9D9D9"/>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eastAsia="Times New Roman" w:hAnsiTheme="minorHAnsi" w:cstheme="minorHAnsi"/>
                <w:b/>
                <w:bCs/>
                <w:color w:val="000000"/>
                <w:szCs w:val="24"/>
              </w:rPr>
              <w:t xml:space="preserve"> Actual </w:t>
            </w:r>
          </w:p>
        </w:tc>
        <w:tc>
          <w:tcPr>
            <w:tcW w:w="1228" w:type="dxa"/>
            <w:shd w:val="clear" w:color="000000" w:fill="D9D9D9"/>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eastAsia="Times New Roman" w:hAnsiTheme="minorHAnsi" w:cstheme="minorHAnsi"/>
                <w:b/>
                <w:bCs/>
                <w:color w:val="000000"/>
                <w:szCs w:val="24"/>
              </w:rPr>
              <w:t xml:space="preserve"> Variance (Approved-Actual) </w:t>
            </w:r>
          </w:p>
        </w:tc>
      </w:tr>
      <w:tr w:rsidR="00FB56AC" w:rsidRPr="00276760" w:rsidTr="00346E72">
        <w:trPr>
          <w:trHeight w:val="20"/>
        </w:trPr>
        <w:tc>
          <w:tcPr>
            <w:tcW w:w="4440" w:type="dxa"/>
            <w:shd w:val="clear" w:color="000000" w:fill="CCFFCC"/>
            <w:noWrap/>
            <w:vAlign w:val="center"/>
            <w:hideMark/>
          </w:tcPr>
          <w:p w:rsidR="00FB56AC" w:rsidRPr="00276760" w:rsidRDefault="00FB56AC" w:rsidP="00346E72">
            <w:pPr>
              <w:spacing w:after="0" w:line="240" w:lineRule="auto"/>
              <w:rPr>
                <w:rFonts w:asciiTheme="minorHAnsi" w:eastAsia="Times New Roman" w:hAnsiTheme="minorHAnsi" w:cstheme="minorHAnsi"/>
                <w:b/>
                <w:bCs/>
                <w:szCs w:val="24"/>
              </w:rPr>
            </w:pPr>
            <w:r w:rsidRPr="00276760">
              <w:rPr>
                <w:rFonts w:asciiTheme="minorHAnsi" w:eastAsia="Times New Roman" w:hAnsiTheme="minorHAnsi" w:cstheme="minorHAnsi"/>
                <w:b/>
                <w:bCs/>
                <w:szCs w:val="24"/>
              </w:rPr>
              <w:t>LT Category</w:t>
            </w:r>
          </w:p>
        </w:tc>
        <w:tc>
          <w:tcPr>
            <w:tcW w:w="1227" w:type="dxa"/>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hAnsiTheme="minorHAnsi" w:cstheme="minorHAnsi"/>
                <w:b/>
                <w:bCs/>
                <w:color w:val="000000"/>
                <w:szCs w:val="24"/>
              </w:rPr>
              <w:t>13261</w:t>
            </w:r>
          </w:p>
        </w:tc>
        <w:tc>
          <w:tcPr>
            <w:tcW w:w="1228" w:type="dxa"/>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hAnsiTheme="minorHAnsi" w:cstheme="minorHAnsi"/>
                <w:b/>
                <w:bCs/>
                <w:color w:val="000000"/>
                <w:szCs w:val="24"/>
              </w:rPr>
              <w:t>13313</w:t>
            </w:r>
          </w:p>
        </w:tc>
        <w:tc>
          <w:tcPr>
            <w:tcW w:w="1227" w:type="dxa"/>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hAnsiTheme="minorHAnsi" w:cstheme="minorHAnsi"/>
                <w:b/>
                <w:bCs/>
                <w:color w:val="000000"/>
                <w:szCs w:val="24"/>
              </w:rPr>
              <w:t>13304</w:t>
            </w:r>
          </w:p>
        </w:tc>
        <w:tc>
          <w:tcPr>
            <w:tcW w:w="1228" w:type="dxa"/>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hAnsiTheme="minorHAnsi" w:cstheme="minorHAnsi"/>
                <w:b/>
                <w:bCs/>
                <w:szCs w:val="24"/>
              </w:rPr>
              <w:t>9</w:t>
            </w:r>
          </w:p>
        </w:tc>
      </w:tr>
      <w:tr w:rsidR="00FB56AC" w:rsidRPr="00276760" w:rsidTr="00346E72">
        <w:trPr>
          <w:trHeight w:val="20"/>
        </w:trPr>
        <w:tc>
          <w:tcPr>
            <w:tcW w:w="4440" w:type="dxa"/>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I - Domestic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4259</w:t>
            </w:r>
          </w:p>
        </w:tc>
        <w:tc>
          <w:tcPr>
            <w:tcW w:w="1228" w:type="dxa"/>
            <w:shd w:val="clear" w:color="auto" w:fill="auto"/>
            <w:noWrap/>
            <w:vAlign w:val="bottom"/>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4437</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3892</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545</w:t>
            </w:r>
          </w:p>
        </w:tc>
      </w:tr>
      <w:tr w:rsidR="00FB56AC" w:rsidRPr="00276760" w:rsidTr="00346E72">
        <w:trPr>
          <w:trHeight w:val="20"/>
        </w:trPr>
        <w:tc>
          <w:tcPr>
            <w:tcW w:w="4440" w:type="dxa"/>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II - Non-domestic/Commercial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820</w:t>
            </w:r>
          </w:p>
        </w:tc>
        <w:tc>
          <w:tcPr>
            <w:tcW w:w="1228" w:type="dxa"/>
            <w:shd w:val="clear" w:color="auto" w:fill="auto"/>
            <w:noWrap/>
            <w:vAlign w:val="bottom"/>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970</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875</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95</w:t>
            </w:r>
          </w:p>
        </w:tc>
      </w:tr>
      <w:tr w:rsidR="00FB56AC" w:rsidRPr="00276760" w:rsidTr="00346E72">
        <w:trPr>
          <w:trHeight w:val="20"/>
        </w:trPr>
        <w:tc>
          <w:tcPr>
            <w:tcW w:w="4440" w:type="dxa"/>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III </w:t>
            </w:r>
            <w:r>
              <w:rPr>
                <w:rFonts w:asciiTheme="minorHAnsi" w:eastAsia="Times New Roman" w:hAnsiTheme="minorHAnsi" w:cstheme="minorHAnsi"/>
                <w:szCs w:val="24"/>
              </w:rPr>
              <w:t>–</w:t>
            </w:r>
            <w:r w:rsidRPr="00276760">
              <w:rPr>
                <w:rFonts w:asciiTheme="minorHAnsi" w:eastAsia="Times New Roman" w:hAnsiTheme="minorHAnsi" w:cstheme="minorHAnsi"/>
                <w:szCs w:val="24"/>
              </w:rPr>
              <w:t xml:space="preserve"> Industr</w:t>
            </w:r>
            <w:r>
              <w:rPr>
                <w:rFonts w:asciiTheme="minorHAnsi" w:eastAsia="Times New Roman" w:hAnsiTheme="minorHAnsi" w:cstheme="minorHAnsi"/>
                <w:szCs w:val="24"/>
              </w:rPr>
              <w:t>y</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251</w:t>
            </w:r>
          </w:p>
        </w:tc>
        <w:tc>
          <w:tcPr>
            <w:tcW w:w="1228" w:type="dxa"/>
            <w:shd w:val="clear" w:color="auto" w:fill="auto"/>
            <w:noWrap/>
            <w:vAlign w:val="bottom"/>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244</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237</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7</w:t>
            </w:r>
          </w:p>
        </w:tc>
      </w:tr>
      <w:tr w:rsidR="00FB56AC" w:rsidRPr="00276760" w:rsidTr="00346E72">
        <w:trPr>
          <w:trHeight w:val="20"/>
        </w:trPr>
        <w:tc>
          <w:tcPr>
            <w:tcW w:w="4440" w:type="dxa"/>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IV - Cottage Industries</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9</w:t>
            </w:r>
          </w:p>
        </w:tc>
        <w:tc>
          <w:tcPr>
            <w:tcW w:w="1228" w:type="dxa"/>
            <w:shd w:val="clear" w:color="auto" w:fill="auto"/>
            <w:noWrap/>
            <w:vAlign w:val="bottom"/>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9</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8</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0</w:t>
            </w:r>
          </w:p>
        </w:tc>
      </w:tr>
      <w:tr w:rsidR="00FB56AC" w:rsidRPr="00276760" w:rsidTr="00346E72">
        <w:trPr>
          <w:trHeight w:val="20"/>
        </w:trPr>
        <w:tc>
          <w:tcPr>
            <w:tcW w:w="4440" w:type="dxa"/>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V - Agriculture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7525</w:t>
            </w:r>
          </w:p>
        </w:tc>
        <w:tc>
          <w:tcPr>
            <w:tcW w:w="1228" w:type="dxa"/>
            <w:shd w:val="clear" w:color="auto" w:fill="auto"/>
            <w:noWrap/>
            <w:vAlign w:val="bottom"/>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7238</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7868</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-630</w:t>
            </w:r>
          </w:p>
        </w:tc>
      </w:tr>
      <w:tr w:rsidR="00FB56AC" w:rsidRPr="00276760" w:rsidTr="00346E72">
        <w:trPr>
          <w:trHeight w:val="20"/>
        </w:trPr>
        <w:tc>
          <w:tcPr>
            <w:tcW w:w="4440" w:type="dxa"/>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VI - St. Lighting &amp; PWS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341</w:t>
            </w:r>
          </w:p>
        </w:tc>
        <w:tc>
          <w:tcPr>
            <w:tcW w:w="1228" w:type="dxa"/>
            <w:shd w:val="clear" w:color="auto" w:fill="auto"/>
            <w:noWrap/>
            <w:vAlign w:val="bottom"/>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326</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355</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-29</w:t>
            </w:r>
          </w:p>
        </w:tc>
      </w:tr>
      <w:tr w:rsidR="00FB56AC" w:rsidRPr="00276760" w:rsidTr="00346E72">
        <w:trPr>
          <w:trHeight w:val="20"/>
        </w:trPr>
        <w:tc>
          <w:tcPr>
            <w:tcW w:w="4440" w:type="dxa"/>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VII - General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53</w:t>
            </w:r>
          </w:p>
        </w:tc>
        <w:tc>
          <w:tcPr>
            <w:tcW w:w="1228" w:type="dxa"/>
            <w:shd w:val="clear" w:color="auto" w:fill="auto"/>
            <w:noWrap/>
            <w:vAlign w:val="bottom"/>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85</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59</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26</w:t>
            </w:r>
          </w:p>
        </w:tc>
      </w:tr>
      <w:tr w:rsidR="00FB56AC" w:rsidRPr="00276760" w:rsidTr="00346E72">
        <w:trPr>
          <w:trHeight w:val="20"/>
        </w:trPr>
        <w:tc>
          <w:tcPr>
            <w:tcW w:w="4440" w:type="dxa"/>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VIII-Temporary Supply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5</w:t>
            </w:r>
          </w:p>
        </w:tc>
        <w:tc>
          <w:tcPr>
            <w:tcW w:w="1228" w:type="dxa"/>
            <w:shd w:val="clear" w:color="auto" w:fill="auto"/>
            <w:noWrap/>
            <w:vAlign w:val="bottom"/>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5</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10</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-6</w:t>
            </w:r>
          </w:p>
        </w:tc>
      </w:tr>
      <w:tr w:rsidR="00FB56AC" w:rsidRPr="00276760" w:rsidTr="00346E72">
        <w:trPr>
          <w:trHeight w:val="20"/>
        </w:trPr>
        <w:tc>
          <w:tcPr>
            <w:tcW w:w="4440" w:type="dxa"/>
            <w:shd w:val="clear" w:color="auto" w:fill="auto"/>
            <w:noWrap/>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Category IX- </w:t>
            </w:r>
            <w:proofErr w:type="spellStart"/>
            <w:r w:rsidRPr="00276760">
              <w:rPr>
                <w:rFonts w:asciiTheme="minorHAnsi" w:eastAsia="Times New Roman" w:hAnsiTheme="minorHAnsi" w:cstheme="minorHAnsi"/>
                <w:szCs w:val="24"/>
              </w:rPr>
              <w:t>Evs</w:t>
            </w:r>
            <w:proofErr w:type="spellEnd"/>
            <w:r w:rsidRPr="00276760">
              <w:rPr>
                <w:rFonts w:asciiTheme="minorHAnsi" w:eastAsia="Times New Roman" w:hAnsiTheme="minorHAnsi" w:cstheme="minorHAnsi"/>
                <w:szCs w:val="24"/>
              </w:rPr>
              <w:t xml:space="preserve"> </w:t>
            </w:r>
            <w:r>
              <w:rPr>
                <w:rFonts w:asciiTheme="minorHAnsi" w:eastAsia="Times New Roman" w:hAnsiTheme="minorHAnsi" w:cstheme="minorHAnsi"/>
                <w:szCs w:val="24"/>
              </w:rPr>
              <w:t>Charging Station</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0</w:t>
            </w:r>
          </w:p>
        </w:tc>
        <w:tc>
          <w:tcPr>
            <w:tcW w:w="1228" w:type="dxa"/>
            <w:shd w:val="clear" w:color="auto" w:fill="auto"/>
            <w:noWrap/>
            <w:vAlign w:val="bottom"/>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0</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0</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0</w:t>
            </w:r>
          </w:p>
        </w:tc>
      </w:tr>
      <w:tr w:rsidR="00FB56AC" w:rsidRPr="00276760" w:rsidTr="00346E72">
        <w:trPr>
          <w:trHeight w:val="20"/>
        </w:trPr>
        <w:tc>
          <w:tcPr>
            <w:tcW w:w="4440" w:type="dxa"/>
            <w:shd w:val="clear" w:color="000000" w:fill="CCFFCC"/>
            <w:noWrap/>
            <w:vAlign w:val="center"/>
            <w:hideMark/>
          </w:tcPr>
          <w:p w:rsidR="00FB56AC" w:rsidRPr="00276760" w:rsidRDefault="00FB56AC" w:rsidP="00346E72">
            <w:pPr>
              <w:spacing w:after="0" w:line="240" w:lineRule="auto"/>
              <w:rPr>
                <w:rFonts w:asciiTheme="minorHAnsi" w:eastAsia="Times New Roman" w:hAnsiTheme="minorHAnsi" w:cstheme="minorHAnsi"/>
                <w:b/>
                <w:bCs/>
                <w:szCs w:val="24"/>
              </w:rPr>
            </w:pPr>
            <w:r w:rsidRPr="00276760">
              <w:rPr>
                <w:rFonts w:asciiTheme="minorHAnsi" w:eastAsia="Times New Roman" w:hAnsiTheme="minorHAnsi" w:cstheme="minorHAnsi"/>
                <w:b/>
                <w:bCs/>
                <w:szCs w:val="24"/>
              </w:rPr>
              <w:t>HIGH TENSION</w:t>
            </w:r>
          </w:p>
        </w:tc>
        <w:tc>
          <w:tcPr>
            <w:tcW w:w="1227" w:type="dxa"/>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hAnsiTheme="minorHAnsi" w:cstheme="minorHAnsi"/>
                <w:b/>
                <w:bCs/>
                <w:color w:val="000000"/>
                <w:szCs w:val="24"/>
              </w:rPr>
              <w:t>12643</w:t>
            </w:r>
          </w:p>
        </w:tc>
        <w:tc>
          <w:tcPr>
            <w:tcW w:w="1228" w:type="dxa"/>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hAnsiTheme="minorHAnsi" w:cstheme="minorHAnsi"/>
                <w:b/>
                <w:bCs/>
                <w:color w:val="000000"/>
                <w:szCs w:val="24"/>
              </w:rPr>
              <w:t>7383</w:t>
            </w:r>
          </w:p>
        </w:tc>
        <w:tc>
          <w:tcPr>
            <w:tcW w:w="1227" w:type="dxa"/>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color w:val="000000"/>
                <w:szCs w:val="24"/>
              </w:rPr>
            </w:pPr>
            <w:r w:rsidRPr="00276760">
              <w:rPr>
                <w:rFonts w:asciiTheme="minorHAnsi" w:hAnsiTheme="minorHAnsi" w:cstheme="minorHAnsi"/>
                <w:b/>
                <w:bCs/>
                <w:color w:val="000000"/>
                <w:szCs w:val="24"/>
              </w:rPr>
              <w:t>5946</w:t>
            </w:r>
          </w:p>
        </w:tc>
        <w:tc>
          <w:tcPr>
            <w:tcW w:w="1228" w:type="dxa"/>
            <w:shd w:val="clear" w:color="000000" w:fill="CCFFCC"/>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hAnsiTheme="minorHAnsi" w:cstheme="minorHAnsi"/>
                <w:b/>
                <w:bCs/>
                <w:szCs w:val="24"/>
              </w:rPr>
              <w:t>1437</w:t>
            </w:r>
          </w:p>
        </w:tc>
      </w:tr>
      <w:tr w:rsidR="00FB56AC" w:rsidRPr="00276760" w:rsidTr="00346E72">
        <w:trPr>
          <w:trHeight w:val="20"/>
        </w:trPr>
        <w:tc>
          <w:tcPr>
            <w:tcW w:w="4440" w:type="dxa"/>
            <w:shd w:val="clear" w:color="000000" w:fill="FFFFFF"/>
            <w:vAlign w:val="center"/>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HT I (A): </w:t>
            </w:r>
            <w:r>
              <w:rPr>
                <w:rFonts w:asciiTheme="minorHAnsi" w:eastAsia="Times New Roman" w:hAnsiTheme="minorHAnsi" w:cstheme="minorHAnsi"/>
                <w:szCs w:val="24"/>
              </w:rPr>
              <w:t xml:space="preserve">Industry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1795</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1791</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1905</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-114</w:t>
            </w:r>
          </w:p>
        </w:tc>
      </w:tr>
      <w:tr w:rsidR="00FB56AC" w:rsidRPr="00276760" w:rsidTr="00346E72">
        <w:trPr>
          <w:trHeight w:val="20"/>
        </w:trPr>
        <w:tc>
          <w:tcPr>
            <w:tcW w:w="4440" w:type="dxa"/>
            <w:shd w:val="clear" w:color="000000" w:fill="FFFFFF"/>
            <w:vAlign w:val="center"/>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HT II: Others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147</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202</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200</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w:t>
            </w:r>
          </w:p>
        </w:tc>
      </w:tr>
      <w:tr w:rsidR="00FB56AC" w:rsidRPr="00276760" w:rsidTr="00346E72">
        <w:trPr>
          <w:trHeight w:val="20"/>
        </w:trPr>
        <w:tc>
          <w:tcPr>
            <w:tcW w:w="4440" w:type="dxa"/>
            <w:shd w:val="clear" w:color="000000" w:fill="FFFFFF"/>
            <w:vAlign w:val="center"/>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HT III: Airports, Bus Stations and Railway Stations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7</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8</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8</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w:t>
            </w:r>
          </w:p>
        </w:tc>
      </w:tr>
      <w:tr w:rsidR="00FB56AC" w:rsidRPr="00276760" w:rsidTr="00346E72">
        <w:trPr>
          <w:trHeight w:val="20"/>
        </w:trPr>
        <w:tc>
          <w:tcPr>
            <w:tcW w:w="4440" w:type="dxa"/>
            <w:shd w:val="clear" w:color="000000" w:fill="FFFFFF"/>
            <w:vAlign w:val="center"/>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HT IV</w:t>
            </w:r>
            <w:r>
              <w:rPr>
                <w:rFonts w:asciiTheme="minorHAnsi" w:eastAsia="Times New Roman" w:hAnsiTheme="minorHAnsi" w:cstheme="minorHAnsi"/>
                <w:szCs w:val="24"/>
              </w:rPr>
              <w:t>:</w:t>
            </w:r>
            <w:r w:rsidRPr="00276760">
              <w:rPr>
                <w:rFonts w:asciiTheme="minorHAnsi" w:eastAsia="Times New Roman" w:hAnsiTheme="minorHAnsi" w:cstheme="minorHAnsi"/>
                <w:szCs w:val="24"/>
              </w:rPr>
              <w:t xml:space="preserve">  </w:t>
            </w:r>
            <w:r>
              <w:rPr>
                <w:rFonts w:asciiTheme="minorHAnsi" w:eastAsia="Times New Roman" w:hAnsiTheme="minorHAnsi" w:cstheme="minorHAnsi"/>
                <w:szCs w:val="24"/>
              </w:rPr>
              <w:t xml:space="preserve">Irrigation &amp; Agriculture and </w:t>
            </w:r>
            <w:r w:rsidRPr="00276760">
              <w:rPr>
                <w:rFonts w:asciiTheme="minorHAnsi" w:eastAsia="Times New Roman" w:hAnsiTheme="minorHAnsi" w:cstheme="minorHAnsi"/>
                <w:szCs w:val="24"/>
              </w:rPr>
              <w:t xml:space="preserve"> C</w:t>
            </w:r>
            <w:r>
              <w:rPr>
                <w:rFonts w:asciiTheme="minorHAnsi" w:eastAsia="Times New Roman" w:hAnsiTheme="minorHAnsi" w:cstheme="minorHAnsi"/>
                <w:szCs w:val="24"/>
              </w:rPr>
              <w:t>P</w:t>
            </w:r>
            <w:r w:rsidRPr="00276760">
              <w:rPr>
                <w:rFonts w:asciiTheme="minorHAnsi" w:eastAsia="Times New Roman" w:hAnsiTheme="minorHAnsi" w:cstheme="minorHAnsi"/>
                <w:szCs w:val="24"/>
              </w:rPr>
              <w:t>W</w:t>
            </w:r>
            <w:r>
              <w:rPr>
                <w:rFonts w:asciiTheme="minorHAnsi" w:eastAsia="Times New Roman" w:hAnsiTheme="minorHAnsi" w:cstheme="minorHAnsi"/>
                <w:szCs w:val="24"/>
              </w:rPr>
              <w:t xml:space="preserve"> </w:t>
            </w:r>
            <w:r w:rsidRPr="00276760">
              <w:rPr>
                <w:rFonts w:asciiTheme="minorHAnsi" w:eastAsia="Times New Roman" w:hAnsiTheme="minorHAnsi" w:cstheme="minorHAnsi"/>
                <w:szCs w:val="24"/>
              </w:rPr>
              <w:t>S</w:t>
            </w:r>
            <w:r>
              <w:rPr>
                <w:rFonts w:asciiTheme="minorHAnsi" w:eastAsia="Times New Roman" w:hAnsiTheme="minorHAnsi" w:cstheme="minorHAnsi"/>
                <w:szCs w:val="24"/>
              </w:rPr>
              <w:t>chemes</w:t>
            </w:r>
            <w:r w:rsidRPr="00276760">
              <w:rPr>
                <w:rFonts w:asciiTheme="minorHAnsi" w:eastAsia="Times New Roman" w:hAnsiTheme="minorHAnsi" w:cstheme="minorHAnsi"/>
                <w:szCs w:val="24"/>
              </w:rPr>
              <w:t xml:space="preserve">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9014</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3741</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2069</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1672</w:t>
            </w:r>
          </w:p>
        </w:tc>
      </w:tr>
      <w:tr w:rsidR="00FB56AC" w:rsidRPr="00276760" w:rsidTr="00346E72">
        <w:trPr>
          <w:trHeight w:val="20"/>
        </w:trPr>
        <w:tc>
          <w:tcPr>
            <w:tcW w:w="4440" w:type="dxa"/>
            <w:shd w:val="clear" w:color="000000" w:fill="FFFFFF"/>
            <w:vAlign w:val="center"/>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HT V: Railway Traction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480</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480</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571</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-90</w:t>
            </w:r>
          </w:p>
        </w:tc>
      </w:tr>
      <w:tr w:rsidR="00FB56AC" w:rsidRPr="00276760" w:rsidTr="00346E72">
        <w:trPr>
          <w:trHeight w:val="20"/>
        </w:trPr>
        <w:tc>
          <w:tcPr>
            <w:tcW w:w="4440" w:type="dxa"/>
            <w:shd w:val="clear" w:color="000000" w:fill="FFFFFF"/>
            <w:vAlign w:val="center"/>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HT VI: Townships &amp; Residential Colonies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147</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160</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126</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34</w:t>
            </w:r>
          </w:p>
        </w:tc>
      </w:tr>
      <w:tr w:rsidR="00FB56AC" w:rsidRPr="00276760" w:rsidTr="00346E72">
        <w:trPr>
          <w:trHeight w:val="20"/>
        </w:trPr>
        <w:tc>
          <w:tcPr>
            <w:tcW w:w="4440" w:type="dxa"/>
            <w:shd w:val="clear" w:color="000000" w:fill="FFFFFF"/>
            <w:vAlign w:val="center"/>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HT VII: Temporary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36</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36</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31</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4</w:t>
            </w:r>
          </w:p>
        </w:tc>
      </w:tr>
      <w:tr w:rsidR="00FB56AC" w:rsidRPr="00276760" w:rsidTr="00346E72">
        <w:trPr>
          <w:trHeight w:val="20"/>
        </w:trPr>
        <w:tc>
          <w:tcPr>
            <w:tcW w:w="4440" w:type="dxa"/>
            <w:shd w:val="clear" w:color="000000" w:fill="FFFFFF"/>
            <w:vAlign w:val="center"/>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w:t>
            </w:r>
            <w:r>
              <w:rPr>
                <w:rFonts w:asciiTheme="minorHAnsi" w:eastAsia="Times New Roman" w:hAnsiTheme="minorHAnsi" w:cstheme="minorHAnsi"/>
                <w:szCs w:val="24"/>
              </w:rPr>
              <w:t xml:space="preserve">HT VIII: </w:t>
            </w:r>
            <w:r w:rsidRPr="00276760">
              <w:rPr>
                <w:rFonts w:asciiTheme="minorHAnsi" w:eastAsia="Times New Roman" w:hAnsiTheme="minorHAnsi" w:cstheme="minorHAnsi"/>
                <w:szCs w:val="24"/>
              </w:rPr>
              <w:t xml:space="preserve">RESCO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1013</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960</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1036</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-76</w:t>
            </w:r>
          </w:p>
        </w:tc>
      </w:tr>
      <w:tr w:rsidR="00FB56AC" w:rsidRPr="00276760" w:rsidTr="00346E72">
        <w:trPr>
          <w:trHeight w:val="20"/>
        </w:trPr>
        <w:tc>
          <w:tcPr>
            <w:tcW w:w="4440" w:type="dxa"/>
            <w:shd w:val="clear" w:color="000000" w:fill="FFFFFF"/>
            <w:vAlign w:val="center"/>
            <w:hideMark/>
          </w:tcPr>
          <w:p w:rsidR="00FB56AC" w:rsidRPr="00276760" w:rsidRDefault="00FB56AC" w:rsidP="00346E72">
            <w:pPr>
              <w:spacing w:after="0" w:line="240" w:lineRule="auto"/>
              <w:rPr>
                <w:rFonts w:asciiTheme="minorHAnsi" w:eastAsia="Times New Roman" w:hAnsiTheme="minorHAnsi" w:cstheme="minorHAnsi"/>
                <w:szCs w:val="24"/>
              </w:rPr>
            </w:pPr>
            <w:r w:rsidRPr="00276760">
              <w:rPr>
                <w:rFonts w:asciiTheme="minorHAnsi" w:eastAsia="Times New Roman" w:hAnsiTheme="minorHAnsi" w:cstheme="minorHAnsi"/>
                <w:szCs w:val="24"/>
              </w:rPr>
              <w:t xml:space="preserve"> HT-IX</w:t>
            </w:r>
            <w:r>
              <w:rPr>
                <w:rFonts w:asciiTheme="minorHAnsi" w:eastAsia="Times New Roman" w:hAnsiTheme="minorHAnsi" w:cstheme="minorHAnsi"/>
                <w:szCs w:val="24"/>
              </w:rPr>
              <w:t>:</w:t>
            </w:r>
            <w:r w:rsidRPr="00276760">
              <w:rPr>
                <w:rFonts w:asciiTheme="minorHAnsi" w:eastAsia="Times New Roman" w:hAnsiTheme="minorHAnsi" w:cstheme="minorHAnsi"/>
                <w:szCs w:val="24"/>
              </w:rPr>
              <w:t xml:space="preserve"> EV Charging Stations </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5</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5</w:t>
            </w:r>
          </w:p>
        </w:tc>
        <w:tc>
          <w:tcPr>
            <w:tcW w:w="1227"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0</w:t>
            </w:r>
          </w:p>
        </w:tc>
        <w:tc>
          <w:tcPr>
            <w:tcW w:w="1228" w:type="dxa"/>
            <w:shd w:val="clear" w:color="auto" w:fill="auto"/>
            <w:noWrap/>
            <w:vAlign w:val="center"/>
            <w:hideMark/>
          </w:tcPr>
          <w:p w:rsidR="00FB56AC" w:rsidRPr="00276760" w:rsidRDefault="00FB56AC" w:rsidP="00346E72">
            <w:pPr>
              <w:spacing w:after="0" w:line="240" w:lineRule="auto"/>
              <w:jc w:val="center"/>
              <w:rPr>
                <w:rFonts w:asciiTheme="minorHAnsi" w:eastAsia="Times New Roman" w:hAnsiTheme="minorHAnsi" w:cstheme="minorHAnsi"/>
                <w:color w:val="000000"/>
                <w:szCs w:val="24"/>
              </w:rPr>
            </w:pPr>
            <w:r w:rsidRPr="00276760">
              <w:rPr>
                <w:rFonts w:asciiTheme="minorHAnsi" w:hAnsiTheme="minorHAnsi" w:cstheme="minorHAnsi"/>
                <w:color w:val="000000"/>
                <w:szCs w:val="24"/>
              </w:rPr>
              <w:t>5</w:t>
            </w:r>
          </w:p>
        </w:tc>
      </w:tr>
      <w:tr w:rsidR="00FB56AC" w:rsidRPr="00276760" w:rsidTr="00346E72">
        <w:trPr>
          <w:trHeight w:val="20"/>
        </w:trPr>
        <w:tc>
          <w:tcPr>
            <w:tcW w:w="4440" w:type="dxa"/>
            <w:shd w:val="clear" w:color="000000" w:fill="AEAAAA"/>
            <w:noWrap/>
            <w:vAlign w:val="center"/>
            <w:hideMark/>
          </w:tcPr>
          <w:p w:rsidR="00FB56AC" w:rsidRPr="00276760" w:rsidRDefault="00FB56AC" w:rsidP="00346E72">
            <w:pPr>
              <w:spacing w:after="0" w:line="240" w:lineRule="auto"/>
              <w:rPr>
                <w:rFonts w:asciiTheme="minorHAnsi" w:eastAsia="Times New Roman" w:hAnsiTheme="minorHAnsi" w:cstheme="minorHAnsi"/>
                <w:b/>
                <w:bCs/>
                <w:szCs w:val="24"/>
              </w:rPr>
            </w:pPr>
            <w:r w:rsidRPr="00276760">
              <w:rPr>
                <w:rFonts w:asciiTheme="minorHAnsi" w:eastAsia="Times New Roman" w:hAnsiTheme="minorHAnsi" w:cstheme="minorHAnsi"/>
                <w:b/>
                <w:bCs/>
                <w:szCs w:val="24"/>
              </w:rPr>
              <w:t>TOTAL LT + HT</w:t>
            </w:r>
          </w:p>
        </w:tc>
        <w:tc>
          <w:tcPr>
            <w:tcW w:w="1227" w:type="dxa"/>
            <w:shd w:val="clear" w:color="000000" w:fill="AEAAAA"/>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hAnsiTheme="minorHAnsi" w:cstheme="minorHAnsi"/>
                <w:b/>
                <w:bCs/>
                <w:szCs w:val="24"/>
              </w:rPr>
              <w:t>25905</w:t>
            </w:r>
          </w:p>
        </w:tc>
        <w:tc>
          <w:tcPr>
            <w:tcW w:w="1228" w:type="dxa"/>
            <w:shd w:val="clear" w:color="000000" w:fill="AEAAAA"/>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hAnsiTheme="minorHAnsi" w:cstheme="minorHAnsi"/>
                <w:b/>
                <w:bCs/>
                <w:szCs w:val="24"/>
              </w:rPr>
              <w:t>20696</w:t>
            </w:r>
          </w:p>
        </w:tc>
        <w:tc>
          <w:tcPr>
            <w:tcW w:w="1227" w:type="dxa"/>
            <w:shd w:val="clear" w:color="000000" w:fill="AEAAAA"/>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hAnsiTheme="minorHAnsi" w:cstheme="minorHAnsi"/>
                <w:b/>
                <w:bCs/>
                <w:szCs w:val="24"/>
              </w:rPr>
              <w:t>19250</w:t>
            </w:r>
          </w:p>
        </w:tc>
        <w:tc>
          <w:tcPr>
            <w:tcW w:w="1228" w:type="dxa"/>
            <w:shd w:val="clear" w:color="000000" w:fill="AEAAAA"/>
            <w:noWrap/>
            <w:vAlign w:val="center"/>
            <w:hideMark/>
          </w:tcPr>
          <w:p w:rsidR="00FB56AC" w:rsidRPr="00276760" w:rsidRDefault="00FB56AC" w:rsidP="00346E72">
            <w:pPr>
              <w:spacing w:after="0" w:line="240" w:lineRule="auto"/>
              <w:jc w:val="center"/>
              <w:rPr>
                <w:rFonts w:asciiTheme="minorHAnsi" w:eastAsia="Times New Roman" w:hAnsiTheme="minorHAnsi" w:cstheme="minorHAnsi"/>
                <w:b/>
                <w:bCs/>
                <w:szCs w:val="24"/>
              </w:rPr>
            </w:pPr>
            <w:r w:rsidRPr="00276760">
              <w:rPr>
                <w:rFonts w:asciiTheme="minorHAnsi" w:hAnsiTheme="minorHAnsi" w:cstheme="minorHAnsi"/>
                <w:b/>
                <w:bCs/>
                <w:szCs w:val="24"/>
              </w:rPr>
              <w:t>1446</w:t>
            </w:r>
          </w:p>
        </w:tc>
      </w:tr>
    </w:tbl>
    <w:p w:rsidR="0014436C" w:rsidRPr="00435BC3" w:rsidRDefault="0014436C" w:rsidP="00EB528A">
      <w:pPr>
        <w:ind w:left="360"/>
        <w:jc w:val="both"/>
        <w:rPr>
          <w:rFonts w:asciiTheme="minorHAnsi" w:hAnsiTheme="minorHAnsi" w:cstheme="minorHAnsi"/>
        </w:rPr>
      </w:pPr>
    </w:p>
    <w:p w:rsidR="00565750" w:rsidRPr="00435BC3" w:rsidRDefault="00565750" w:rsidP="00565750">
      <w:pPr>
        <w:jc w:val="both"/>
        <w:rPr>
          <w:rFonts w:asciiTheme="minorHAnsi" w:hAnsiTheme="minorHAnsi" w:cstheme="minorHAnsi"/>
        </w:rPr>
      </w:pPr>
      <w:r w:rsidRPr="00435BC3">
        <w:rPr>
          <w:rFonts w:asciiTheme="minorHAnsi" w:hAnsiTheme="minorHAnsi" w:cstheme="minorHAnsi"/>
        </w:rPr>
        <w:t xml:space="preserve">In the case of TSNPDCL, we can observe, actual LT sales were </w:t>
      </w:r>
      <w:r w:rsidR="00F2268C">
        <w:rPr>
          <w:rFonts w:asciiTheme="minorHAnsi" w:hAnsiTheme="minorHAnsi" w:cstheme="minorHAnsi"/>
        </w:rPr>
        <w:t xml:space="preserve">lower </w:t>
      </w:r>
      <w:r w:rsidRPr="00435BC3">
        <w:rPr>
          <w:rFonts w:asciiTheme="minorHAnsi" w:hAnsiTheme="minorHAnsi" w:cstheme="minorHAnsi"/>
        </w:rPr>
        <w:t xml:space="preserve">by </w:t>
      </w:r>
      <w:r w:rsidR="00F2268C">
        <w:rPr>
          <w:rFonts w:asciiTheme="minorHAnsi" w:hAnsiTheme="minorHAnsi" w:cstheme="minorHAnsi"/>
        </w:rPr>
        <w:t xml:space="preserve">9 </w:t>
      </w:r>
      <w:r w:rsidRPr="00435BC3">
        <w:rPr>
          <w:rFonts w:asciiTheme="minorHAnsi" w:hAnsiTheme="minorHAnsi" w:cstheme="minorHAnsi"/>
        </w:rPr>
        <w:t xml:space="preserve">MU’s than the </w:t>
      </w:r>
      <w:r w:rsidR="00F2268C">
        <w:rPr>
          <w:rFonts w:asciiTheme="minorHAnsi" w:hAnsiTheme="minorHAnsi" w:cstheme="minorHAnsi"/>
        </w:rPr>
        <w:t>approved</w:t>
      </w:r>
      <w:r w:rsidRPr="00435BC3">
        <w:rPr>
          <w:rFonts w:asciiTheme="minorHAnsi" w:hAnsiTheme="minorHAnsi" w:cstheme="minorHAnsi"/>
        </w:rPr>
        <w:t xml:space="preserve">. For HT sales actual sales were lower by </w:t>
      </w:r>
      <w:r w:rsidR="00F2268C">
        <w:rPr>
          <w:rFonts w:asciiTheme="minorHAnsi" w:hAnsiTheme="minorHAnsi" w:cstheme="minorHAnsi"/>
        </w:rPr>
        <w:t xml:space="preserve">1436.81 </w:t>
      </w:r>
      <w:r w:rsidRPr="00435BC3">
        <w:rPr>
          <w:rFonts w:asciiTheme="minorHAnsi" w:hAnsiTheme="minorHAnsi" w:cstheme="minorHAnsi"/>
        </w:rPr>
        <w:t xml:space="preserve">MU than the </w:t>
      </w:r>
      <w:r w:rsidR="00F2268C">
        <w:rPr>
          <w:rFonts w:asciiTheme="minorHAnsi" w:hAnsiTheme="minorHAnsi" w:cstheme="minorHAnsi"/>
        </w:rPr>
        <w:t>approved</w:t>
      </w:r>
      <w:r w:rsidRPr="00435BC3">
        <w:rPr>
          <w:rFonts w:asciiTheme="minorHAnsi" w:hAnsiTheme="minorHAnsi" w:cstheme="minorHAnsi"/>
        </w:rPr>
        <w:t xml:space="preserve">. The major change was in HT sales was on account of consumer category Government LIS schemes. In total actual sales were lower by </w:t>
      </w:r>
      <w:r w:rsidR="0095600F">
        <w:rPr>
          <w:rFonts w:asciiTheme="minorHAnsi" w:hAnsiTheme="minorHAnsi" w:cstheme="minorHAnsi"/>
        </w:rPr>
        <w:t xml:space="preserve">1446.14 </w:t>
      </w:r>
      <w:r w:rsidRPr="00435BC3">
        <w:rPr>
          <w:rFonts w:asciiTheme="minorHAnsi" w:hAnsiTheme="minorHAnsi" w:cstheme="minorHAnsi"/>
        </w:rPr>
        <w:t>MU’s than the projected sales.</w:t>
      </w:r>
    </w:p>
    <w:p w:rsidR="00456ECD" w:rsidRDefault="00456ECD" w:rsidP="00565750">
      <w:pPr>
        <w:jc w:val="both"/>
        <w:rPr>
          <w:rFonts w:asciiTheme="minorHAnsi" w:hAnsiTheme="minorHAnsi" w:cstheme="minorHAnsi"/>
        </w:rPr>
      </w:pPr>
    </w:p>
    <w:p w:rsidR="004B63D3" w:rsidRDefault="004B63D3" w:rsidP="00565750">
      <w:pPr>
        <w:jc w:val="both"/>
        <w:rPr>
          <w:rFonts w:asciiTheme="minorHAnsi" w:hAnsiTheme="minorHAnsi" w:cstheme="minorHAnsi"/>
        </w:rPr>
      </w:pPr>
    </w:p>
    <w:p w:rsidR="004B63D3" w:rsidRDefault="004B63D3" w:rsidP="00565750">
      <w:pPr>
        <w:jc w:val="both"/>
        <w:rPr>
          <w:rFonts w:asciiTheme="minorHAnsi" w:hAnsiTheme="minorHAnsi" w:cstheme="minorHAnsi"/>
        </w:rPr>
      </w:pPr>
    </w:p>
    <w:p w:rsidR="004B63D3" w:rsidRDefault="004B63D3" w:rsidP="00565750">
      <w:pPr>
        <w:jc w:val="both"/>
        <w:rPr>
          <w:rFonts w:asciiTheme="minorHAnsi" w:hAnsiTheme="minorHAnsi" w:cstheme="minorHAnsi"/>
        </w:rPr>
      </w:pPr>
    </w:p>
    <w:p w:rsidR="004B63D3" w:rsidRPr="00435BC3" w:rsidRDefault="004B63D3" w:rsidP="00565750">
      <w:pPr>
        <w:jc w:val="both"/>
        <w:rPr>
          <w:rFonts w:asciiTheme="minorHAnsi" w:hAnsiTheme="minorHAnsi" w:cstheme="minorHAnsi"/>
        </w:rPr>
      </w:pPr>
    </w:p>
    <w:p w:rsidR="00456ECD" w:rsidRPr="00435BC3" w:rsidRDefault="00456ECD" w:rsidP="00565750">
      <w:pPr>
        <w:jc w:val="both"/>
        <w:rPr>
          <w:rFonts w:asciiTheme="minorHAnsi" w:hAnsiTheme="minorHAnsi" w:cstheme="minorHAnsi"/>
        </w:rPr>
      </w:pPr>
    </w:p>
    <w:p w:rsidR="002E26B0" w:rsidRPr="00435BC3" w:rsidRDefault="002E26B0" w:rsidP="00565750">
      <w:pPr>
        <w:jc w:val="both"/>
        <w:rPr>
          <w:rFonts w:asciiTheme="minorHAnsi" w:hAnsiTheme="minorHAnsi" w:cstheme="minorHAnsi"/>
        </w:rPr>
      </w:pPr>
    </w:p>
    <w:p w:rsidR="00435BC3" w:rsidRPr="00435BC3" w:rsidRDefault="00435BC3" w:rsidP="00435BC3">
      <w:pPr>
        <w:ind w:left="720" w:hanging="360"/>
        <w:jc w:val="both"/>
        <w:rPr>
          <w:rFonts w:asciiTheme="minorHAnsi" w:hAnsiTheme="minorHAnsi" w:cstheme="minorHAnsi"/>
          <w:sz w:val="28"/>
          <w:szCs w:val="24"/>
          <w:u w:val="single"/>
        </w:rPr>
      </w:pPr>
      <w:r w:rsidRPr="00435BC3">
        <w:rPr>
          <w:rFonts w:asciiTheme="minorHAnsi" w:hAnsiTheme="minorHAnsi" w:cstheme="minorHAnsi"/>
          <w:sz w:val="28"/>
          <w:szCs w:val="24"/>
          <w:u w:val="single"/>
        </w:rPr>
        <w:t>Network &amp; Capex Plan: Analysis of 4th Control Period for TSSPDCL</w:t>
      </w:r>
    </w:p>
    <w:p w:rsidR="00435BC3" w:rsidRPr="00B54C41" w:rsidRDefault="00435BC3" w:rsidP="00435BC3">
      <w:pPr>
        <w:pStyle w:val="ListParagraph"/>
        <w:numPr>
          <w:ilvl w:val="0"/>
          <w:numId w:val="17"/>
        </w:numPr>
        <w:tabs>
          <w:tab w:val="left" w:pos="270"/>
        </w:tabs>
        <w:ind w:left="270" w:hanging="270"/>
        <w:jc w:val="both"/>
        <w:rPr>
          <w:rFonts w:asciiTheme="minorHAnsi" w:hAnsiTheme="minorHAnsi" w:cstheme="minorHAnsi"/>
          <w:szCs w:val="24"/>
        </w:rPr>
      </w:pPr>
      <w:r w:rsidRPr="00B54C41">
        <w:rPr>
          <w:rFonts w:asciiTheme="minorHAnsi" w:hAnsiTheme="minorHAnsi" w:cstheme="minorHAnsi"/>
          <w:b/>
          <w:bCs/>
          <w:szCs w:val="24"/>
        </w:rPr>
        <w:t>Need for Capex Requirement:</w:t>
      </w:r>
      <w:r w:rsidRPr="00B54C41">
        <w:rPr>
          <w:rFonts w:asciiTheme="minorHAnsi" w:hAnsiTheme="minorHAnsi" w:cstheme="minorHAnsi"/>
          <w:szCs w:val="24"/>
        </w:rPr>
        <w:t xml:space="preserve"> Capital investment is required to improve Power supply reliability, reduce the AT&amp;C losses, ensure the safety and security of network, make the network adequate to cater the load growth and implementation of the technology to bring process efficiency in the operations.</w:t>
      </w:r>
    </w:p>
    <w:p w:rsidR="00435BC3" w:rsidRPr="00B54C41" w:rsidRDefault="00435BC3" w:rsidP="00435BC3">
      <w:pPr>
        <w:pStyle w:val="ListParagraph"/>
        <w:tabs>
          <w:tab w:val="left" w:pos="270"/>
        </w:tabs>
        <w:ind w:left="270"/>
        <w:jc w:val="both"/>
        <w:rPr>
          <w:rFonts w:asciiTheme="minorHAnsi" w:hAnsiTheme="minorHAnsi" w:cstheme="minorHAnsi"/>
          <w:szCs w:val="24"/>
        </w:rPr>
      </w:pPr>
      <w:r w:rsidRPr="00B54C41">
        <w:rPr>
          <w:rFonts w:asciiTheme="minorHAnsi" w:hAnsiTheme="minorHAnsi" w:cstheme="minorHAnsi"/>
          <w:szCs w:val="24"/>
        </w:rPr>
        <w:t>Further TSSPDCL has been framing its Capex requirement which is broadly based on the following:</w:t>
      </w:r>
    </w:p>
    <w:p w:rsidR="00435BC3" w:rsidRPr="00B54C41" w:rsidRDefault="00435BC3" w:rsidP="00435BC3">
      <w:pPr>
        <w:pStyle w:val="ListParagraph"/>
        <w:numPr>
          <w:ilvl w:val="0"/>
          <w:numId w:val="18"/>
        </w:numPr>
        <w:tabs>
          <w:tab w:val="left" w:pos="270"/>
        </w:tabs>
        <w:jc w:val="both"/>
        <w:rPr>
          <w:rFonts w:asciiTheme="minorHAnsi" w:hAnsiTheme="minorHAnsi" w:cstheme="minorHAnsi"/>
          <w:szCs w:val="24"/>
        </w:rPr>
      </w:pPr>
      <w:r w:rsidRPr="00B54C41">
        <w:rPr>
          <w:rFonts w:asciiTheme="minorHAnsi" w:hAnsiTheme="minorHAnsi" w:cstheme="minorHAnsi"/>
          <w:b/>
          <w:bCs/>
          <w:szCs w:val="24"/>
        </w:rPr>
        <w:t>Statutory &amp; Safety</w:t>
      </w:r>
      <w:r w:rsidRPr="00B54C41">
        <w:rPr>
          <w:rFonts w:asciiTheme="minorHAnsi" w:hAnsiTheme="minorHAnsi" w:cstheme="minorHAnsi"/>
          <w:szCs w:val="24"/>
        </w:rPr>
        <w:t>: Investment required for addressing unsafe conditions and making the network statutory compliant. This covers Refurbishment jobs, set up of safety culture through PPEs and testing equipment.</w:t>
      </w:r>
    </w:p>
    <w:p w:rsidR="00435BC3" w:rsidRPr="00B54C41" w:rsidRDefault="00435BC3" w:rsidP="00435BC3">
      <w:pPr>
        <w:pStyle w:val="ListParagraph"/>
        <w:numPr>
          <w:ilvl w:val="0"/>
          <w:numId w:val="18"/>
        </w:numPr>
        <w:tabs>
          <w:tab w:val="left" w:pos="270"/>
        </w:tabs>
        <w:jc w:val="both"/>
        <w:rPr>
          <w:rFonts w:asciiTheme="minorHAnsi" w:hAnsiTheme="minorHAnsi" w:cstheme="minorHAnsi"/>
          <w:szCs w:val="24"/>
        </w:rPr>
      </w:pPr>
      <w:r w:rsidRPr="00B54C41">
        <w:rPr>
          <w:rFonts w:asciiTheme="minorHAnsi" w:hAnsiTheme="minorHAnsi" w:cstheme="minorHAnsi"/>
          <w:b/>
          <w:bCs/>
          <w:szCs w:val="24"/>
        </w:rPr>
        <w:t>Loss Reduction</w:t>
      </w:r>
      <w:r w:rsidRPr="00B54C41">
        <w:rPr>
          <w:rFonts w:asciiTheme="minorHAnsi" w:hAnsiTheme="minorHAnsi" w:cstheme="minorHAnsi"/>
          <w:szCs w:val="24"/>
        </w:rPr>
        <w:t>: Investment required for taking initiatives to improve Billing or collection efficiency or reducing the technical Losses in the network. This includes Energy auditing, LT Bare to AB Cable and Defective cable replacement etc.</w:t>
      </w:r>
    </w:p>
    <w:p w:rsidR="00435BC3" w:rsidRPr="00B54C41" w:rsidRDefault="00435BC3" w:rsidP="00435BC3">
      <w:pPr>
        <w:pStyle w:val="ListParagraph"/>
        <w:numPr>
          <w:ilvl w:val="0"/>
          <w:numId w:val="18"/>
        </w:numPr>
        <w:tabs>
          <w:tab w:val="left" w:pos="270"/>
        </w:tabs>
        <w:jc w:val="both"/>
        <w:rPr>
          <w:rFonts w:asciiTheme="minorHAnsi" w:hAnsiTheme="minorHAnsi" w:cstheme="minorHAnsi"/>
          <w:szCs w:val="24"/>
        </w:rPr>
      </w:pPr>
      <w:r w:rsidRPr="00B54C41">
        <w:rPr>
          <w:rFonts w:asciiTheme="minorHAnsi" w:hAnsiTheme="minorHAnsi" w:cstheme="minorHAnsi"/>
          <w:b/>
          <w:bCs/>
          <w:szCs w:val="24"/>
        </w:rPr>
        <w:t>Reliability:</w:t>
      </w:r>
      <w:r w:rsidRPr="00B54C41">
        <w:rPr>
          <w:rFonts w:asciiTheme="minorHAnsi" w:hAnsiTheme="minorHAnsi" w:cstheme="minorHAnsi"/>
          <w:szCs w:val="24"/>
        </w:rPr>
        <w:t xml:space="preserve"> Investment required to improve the Reliability and Quality of Power Supply by taking various initiatives like Feeder addition / augmentation, Transformer addition / augmentation and N-1 redundancy etc.</w:t>
      </w:r>
    </w:p>
    <w:p w:rsidR="00435BC3" w:rsidRPr="00B54C41" w:rsidRDefault="00435BC3" w:rsidP="00435BC3">
      <w:pPr>
        <w:pStyle w:val="ListParagraph"/>
        <w:numPr>
          <w:ilvl w:val="0"/>
          <w:numId w:val="18"/>
        </w:numPr>
        <w:tabs>
          <w:tab w:val="left" w:pos="270"/>
        </w:tabs>
        <w:jc w:val="both"/>
        <w:rPr>
          <w:rFonts w:asciiTheme="minorHAnsi" w:hAnsiTheme="minorHAnsi" w:cstheme="minorHAnsi"/>
          <w:szCs w:val="24"/>
        </w:rPr>
      </w:pPr>
      <w:r w:rsidRPr="00B54C41">
        <w:rPr>
          <w:rFonts w:asciiTheme="minorHAnsi" w:hAnsiTheme="minorHAnsi" w:cstheme="minorHAnsi"/>
          <w:b/>
          <w:bCs/>
          <w:szCs w:val="24"/>
        </w:rPr>
        <w:t>Load Growth:</w:t>
      </w:r>
      <w:r w:rsidRPr="00B54C41">
        <w:rPr>
          <w:rFonts w:asciiTheme="minorHAnsi" w:hAnsiTheme="minorHAnsi" w:cstheme="minorHAnsi"/>
          <w:szCs w:val="24"/>
        </w:rPr>
        <w:t xml:space="preserve"> Investment is required to meet the Load Growth in the network and making the network future ready. This includes Augmentation / Addition of Feeder, Transformers, sub-stations etc.</w:t>
      </w:r>
    </w:p>
    <w:p w:rsidR="00435BC3" w:rsidRPr="00B54C41" w:rsidRDefault="00435BC3" w:rsidP="00435BC3">
      <w:pPr>
        <w:pStyle w:val="ListParagraph"/>
        <w:numPr>
          <w:ilvl w:val="0"/>
          <w:numId w:val="18"/>
        </w:numPr>
        <w:tabs>
          <w:tab w:val="left" w:pos="270"/>
        </w:tabs>
        <w:jc w:val="both"/>
        <w:rPr>
          <w:rFonts w:asciiTheme="minorHAnsi" w:hAnsiTheme="minorHAnsi" w:cstheme="minorHAnsi"/>
          <w:szCs w:val="24"/>
        </w:rPr>
      </w:pPr>
      <w:r w:rsidRPr="00B54C41">
        <w:rPr>
          <w:rFonts w:asciiTheme="minorHAnsi" w:hAnsiTheme="minorHAnsi" w:cstheme="minorHAnsi"/>
          <w:b/>
          <w:bCs/>
          <w:szCs w:val="24"/>
        </w:rPr>
        <w:t>Technology and Infrastructure:</w:t>
      </w:r>
      <w:r w:rsidRPr="00B54C41">
        <w:rPr>
          <w:rFonts w:asciiTheme="minorHAnsi" w:hAnsiTheme="minorHAnsi" w:cstheme="minorHAnsi"/>
          <w:szCs w:val="24"/>
        </w:rPr>
        <w:t xml:space="preserve"> Investment related to technology adoption and strengthening of various infrastructure to improve internal as well as external customer satisfaction. This includes IT infrastructure, GIS implementation, Civil infrastructure, Transformer Workshop and Admin assets.</w:t>
      </w:r>
    </w:p>
    <w:p w:rsidR="00435BC3" w:rsidRPr="00B54C41" w:rsidRDefault="00435BC3" w:rsidP="00435BC3">
      <w:pPr>
        <w:tabs>
          <w:tab w:val="left" w:pos="270"/>
        </w:tabs>
        <w:ind w:left="270"/>
        <w:jc w:val="both"/>
        <w:rPr>
          <w:rFonts w:asciiTheme="minorHAnsi" w:hAnsiTheme="minorHAnsi" w:cstheme="minorHAnsi"/>
          <w:szCs w:val="24"/>
        </w:rPr>
      </w:pPr>
      <w:r w:rsidRPr="00B54C41">
        <w:rPr>
          <w:rFonts w:asciiTheme="minorHAnsi" w:hAnsiTheme="minorHAnsi" w:cstheme="minorHAnsi"/>
          <w:szCs w:val="24"/>
        </w:rPr>
        <w:t>Power for all-24 hours supply concept: TSSPDCL is committed to provide 24 hours power supply in all the areas under its jurisdiction which requires comprehensive plan for system strengthening loss reduction and reliability improvement.</w:t>
      </w:r>
    </w:p>
    <w:p w:rsidR="00435BC3" w:rsidRPr="00B54C41" w:rsidRDefault="00435BC3" w:rsidP="00435BC3">
      <w:pPr>
        <w:pStyle w:val="ListParagraph"/>
        <w:numPr>
          <w:ilvl w:val="0"/>
          <w:numId w:val="17"/>
        </w:numPr>
        <w:tabs>
          <w:tab w:val="left" w:pos="270"/>
        </w:tabs>
        <w:ind w:left="270" w:hanging="270"/>
        <w:jc w:val="both"/>
        <w:rPr>
          <w:rFonts w:asciiTheme="minorHAnsi" w:hAnsiTheme="minorHAnsi" w:cstheme="minorHAnsi"/>
          <w:szCs w:val="24"/>
        </w:rPr>
      </w:pPr>
      <w:r w:rsidRPr="00B54C41">
        <w:rPr>
          <w:rFonts w:asciiTheme="minorHAnsi" w:hAnsiTheme="minorHAnsi" w:cstheme="minorHAnsi"/>
          <w:b/>
          <w:bCs/>
          <w:szCs w:val="24"/>
        </w:rPr>
        <w:t>Key Network Statistics are as given below:</w:t>
      </w:r>
    </w:p>
    <w:tbl>
      <w:tblPr>
        <w:tblW w:w="9146" w:type="dxa"/>
        <w:jc w:val="center"/>
        <w:tblLook w:val="04A0"/>
      </w:tblPr>
      <w:tblGrid>
        <w:gridCol w:w="5332"/>
        <w:gridCol w:w="1372"/>
        <w:gridCol w:w="2442"/>
      </w:tblGrid>
      <w:tr w:rsidR="00435BC3" w:rsidRPr="00B54C41" w:rsidTr="00604281">
        <w:trPr>
          <w:trHeight w:val="335"/>
          <w:tblHeader/>
          <w:jc w:val="center"/>
        </w:trPr>
        <w:tc>
          <w:tcPr>
            <w:tcW w:w="91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b/>
                <w:bCs/>
                <w:color w:val="000000"/>
                <w:szCs w:val="24"/>
              </w:rPr>
            </w:pPr>
            <w:r w:rsidRPr="00B54C41">
              <w:rPr>
                <w:rFonts w:asciiTheme="minorHAnsi" w:eastAsia="Times New Roman" w:hAnsiTheme="minorHAnsi" w:cstheme="minorHAnsi"/>
                <w:b/>
                <w:bCs/>
                <w:color w:val="000000"/>
                <w:szCs w:val="24"/>
              </w:rPr>
              <w:t>TSSPDCL Network Infrastructure (FY 2022-23)</w:t>
            </w:r>
          </w:p>
        </w:tc>
      </w:tr>
      <w:tr w:rsidR="00435BC3" w:rsidRPr="00B54C41" w:rsidTr="00604281">
        <w:trPr>
          <w:trHeight w:val="335"/>
          <w:tblHeader/>
          <w:jc w:val="center"/>
        </w:trPr>
        <w:tc>
          <w:tcPr>
            <w:tcW w:w="5332" w:type="dxa"/>
            <w:tcBorders>
              <w:top w:val="nil"/>
              <w:left w:val="single" w:sz="4" w:space="0" w:color="auto"/>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rPr>
                <w:rFonts w:asciiTheme="minorHAnsi" w:eastAsia="Times New Roman" w:hAnsiTheme="minorHAnsi" w:cstheme="minorHAnsi"/>
                <w:b/>
                <w:bCs/>
                <w:color w:val="000000"/>
                <w:szCs w:val="24"/>
              </w:rPr>
            </w:pPr>
            <w:r w:rsidRPr="00B54C41">
              <w:rPr>
                <w:rFonts w:asciiTheme="minorHAnsi" w:eastAsia="Times New Roman" w:hAnsiTheme="minorHAnsi" w:cstheme="minorHAnsi"/>
                <w:b/>
                <w:bCs/>
                <w:color w:val="000000"/>
                <w:szCs w:val="24"/>
              </w:rPr>
              <w:t>Key Network Elements</w:t>
            </w:r>
          </w:p>
        </w:tc>
        <w:tc>
          <w:tcPr>
            <w:tcW w:w="1372"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b/>
                <w:bCs/>
                <w:color w:val="000000"/>
                <w:szCs w:val="24"/>
              </w:rPr>
            </w:pPr>
            <w:r w:rsidRPr="00B54C41">
              <w:rPr>
                <w:rFonts w:asciiTheme="minorHAnsi" w:eastAsia="Times New Roman" w:hAnsiTheme="minorHAnsi" w:cstheme="minorHAnsi"/>
                <w:b/>
                <w:bCs/>
                <w:color w:val="000000"/>
                <w:szCs w:val="24"/>
              </w:rPr>
              <w:t>Unit</w:t>
            </w:r>
          </w:p>
        </w:tc>
        <w:tc>
          <w:tcPr>
            <w:tcW w:w="2441"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b/>
                <w:bCs/>
                <w:color w:val="000000"/>
                <w:szCs w:val="24"/>
              </w:rPr>
            </w:pPr>
            <w:r w:rsidRPr="00B54C41">
              <w:rPr>
                <w:rFonts w:asciiTheme="minorHAnsi" w:eastAsia="Times New Roman" w:hAnsiTheme="minorHAnsi" w:cstheme="minorHAnsi"/>
                <w:b/>
                <w:bCs/>
                <w:color w:val="000000"/>
                <w:szCs w:val="24"/>
              </w:rPr>
              <w:t>Quantity</w:t>
            </w:r>
          </w:p>
        </w:tc>
      </w:tr>
      <w:tr w:rsidR="00435BC3" w:rsidRPr="00B54C41" w:rsidTr="00604281">
        <w:trPr>
          <w:trHeight w:val="335"/>
          <w:jc w:val="center"/>
        </w:trPr>
        <w:tc>
          <w:tcPr>
            <w:tcW w:w="5332" w:type="dxa"/>
            <w:tcBorders>
              <w:top w:val="nil"/>
              <w:left w:val="single" w:sz="4" w:space="0" w:color="auto"/>
              <w:bottom w:val="single" w:sz="4" w:space="0" w:color="auto"/>
              <w:right w:val="single" w:sz="4" w:space="0" w:color="auto"/>
            </w:tcBorders>
            <w:shd w:val="clear" w:color="auto" w:fill="auto"/>
            <w:noWrap/>
            <w:vAlign w:val="bottom"/>
            <w:hideMark/>
          </w:tcPr>
          <w:p w:rsidR="00435BC3" w:rsidRPr="00B54C41" w:rsidRDefault="00435BC3" w:rsidP="00774104">
            <w:pPr>
              <w:spacing w:after="0" w:line="240" w:lineRule="auto"/>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33/11 KV Sub-station</w:t>
            </w:r>
          </w:p>
        </w:tc>
        <w:tc>
          <w:tcPr>
            <w:tcW w:w="1372"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Nos.</w:t>
            </w:r>
          </w:p>
        </w:tc>
        <w:tc>
          <w:tcPr>
            <w:tcW w:w="2441"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1700</w:t>
            </w:r>
          </w:p>
        </w:tc>
      </w:tr>
      <w:tr w:rsidR="00435BC3" w:rsidRPr="00B54C41" w:rsidTr="00604281">
        <w:trPr>
          <w:trHeight w:val="335"/>
          <w:jc w:val="center"/>
        </w:trPr>
        <w:tc>
          <w:tcPr>
            <w:tcW w:w="5332" w:type="dxa"/>
            <w:tcBorders>
              <w:top w:val="nil"/>
              <w:left w:val="single" w:sz="4" w:space="0" w:color="auto"/>
              <w:bottom w:val="single" w:sz="4" w:space="0" w:color="auto"/>
              <w:right w:val="single" w:sz="4" w:space="0" w:color="auto"/>
            </w:tcBorders>
            <w:shd w:val="clear" w:color="auto" w:fill="auto"/>
            <w:noWrap/>
            <w:vAlign w:val="bottom"/>
            <w:hideMark/>
          </w:tcPr>
          <w:p w:rsidR="00435BC3" w:rsidRPr="00B54C41" w:rsidRDefault="00435BC3" w:rsidP="00774104">
            <w:pPr>
              <w:spacing w:after="0" w:line="240" w:lineRule="auto"/>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PTRs</w:t>
            </w:r>
          </w:p>
        </w:tc>
        <w:tc>
          <w:tcPr>
            <w:tcW w:w="1372"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Nos.</w:t>
            </w:r>
          </w:p>
        </w:tc>
        <w:tc>
          <w:tcPr>
            <w:tcW w:w="2441"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3223</w:t>
            </w:r>
          </w:p>
        </w:tc>
      </w:tr>
      <w:tr w:rsidR="00435BC3" w:rsidRPr="00B54C41" w:rsidTr="00604281">
        <w:trPr>
          <w:trHeight w:val="335"/>
          <w:jc w:val="center"/>
        </w:trPr>
        <w:tc>
          <w:tcPr>
            <w:tcW w:w="5332" w:type="dxa"/>
            <w:tcBorders>
              <w:top w:val="nil"/>
              <w:left w:val="single" w:sz="4" w:space="0" w:color="auto"/>
              <w:bottom w:val="single" w:sz="4" w:space="0" w:color="auto"/>
              <w:right w:val="single" w:sz="4" w:space="0" w:color="auto"/>
            </w:tcBorders>
            <w:shd w:val="clear" w:color="auto" w:fill="auto"/>
            <w:noWrap/>
            <w:vAlign w:val="bottom"/>
            <w:hideMark/>
          </w:tcPr>
          <w:p w:rsidR="00435BC3" w:rsidRPr="00B54C41" w:rsidRDefault="00435BC3" w:rsidP="00774104">
            <w:pPr>
              <w:spacing w:after="0" w:line="240" w:lineRule="auto"/>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PTR Capacity</w:t>
            </w:r>
          </w:p>
        </w:tc>
        <w:tc>
          <w:tcPr>
            <w:tcW w:w="1372"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MVA</w:t>
            </w:r>
          </w:p>
        </w:tc>
        <w:tc>
          <w:tcPr>
            <w:tcW w:w="2441"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21060</w:t>
            </w:r>
          </w:p>
        </w:tc>
      </w:tr>
      <w:tr w:rsidR="00435BC3" w:rsidRPr="00B54C41" w:rsidTr="00604281">
        <w:trPr>
          <w:trHeight w:val="335"/>
          <w:jc w:val="center"/>
        </w:trPr>
        <w:tc>
          <w:tcPr>
            <w:tcW w:w="5332" w:type="dxa"/>
            <w:tcBorders>
              <w:top w:val="nil"/>
              <w:left w:val="single" w:sz="4" w:space="0" w:color="auto"/>
              <w:bottom w:val="single" w:sz="4" w:space="0" w:color="auto"/>
              <w:right w:val="single" w:sz="4" w:space="0" w:color="auto"/>
            </w:tcBorders>
            <w:shd w:val="clear" w:color="auto" w:fill="auto"/>
            <w:noWrap/>
            <w:vAlign w:val="bottom"/>
            <w:hideMark/>
          </w:tcPr>
          <w:p w:rsidR="00435BC3" w:rsidRPr="00B54C41" w:rsidRDefault="00435BC3" w:rsidP="00774104">
            <w:pPr>
              <w:spacing w:after="0" w:line="240" w:lineRule="auto"/>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DTRs</w:t>
            </w:r>
          </w:p>
        </w:tc>
        <w:tc>
          <w:tcPr>
            <w:tcW w:w="1372"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Nos.</w:t>
            </w:r>
          </w:p>
        </w:tc>
        <w:tc>
          <w:tcPr>
            <w:tcW w:w="2441"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499695</w:t>
            </w:r>
          </w:p>
        </w:tc>
      </w:tr>
      <w:tr w:rsidR="00435BC3" w:rsidRPr="00B54C41" w:rsidTr="00604281">
        <w:trPr>
          <w:trHeight w:val="335"/>
          <w:jc w:val="center"/>
        </w:trPr>
        <w:tc>
          <w:tcPr>
            <w:tcW w:w="5332" w:type="dxa"/>
            <w:tcBorders>
              <w:top w:val="nil"/>
              <w:left w:val="single" w:sz="4" w:space="0" w:color="auto"/>
              <w:bottom w:val="single" w:sz="4" w:space="0" w:color="auto"/>
              <w:right w:val="single" w:sz="4" w:space="0" w:color="auto"/>
            </w:tcBorders>
            <w:shd w:val="clear" w:color="auto" w:fill="auto"/>
            <w:noWrap/>
            <w:vAlign w:val="bottom"/>
            <w:hideMark/>
          </w:tcPr>
          <w:p w:rsidR="00435BC3" w:rsidRPr="00B54C41" w:rsidRDefault="00435BC3" w:rsidP="00774104">
            <w:pPr>
              <w:spacing w:after="0" w:line="240" w:lineRule="auto"/>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DTR Capacity</w:t>
            </w:r>
          </w:p>
        </w:tc>
        <w:tc>
          <w:tcPr>
            <w:tcW w:w="1372"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MVA</w:t>
            </w:r>
          </w:p>
        </w:tc>
        <w:tc>
          <w:tcPr>
            <w:tcW w:w="2441"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24244</w:t>
            </w:r>
          </w:p>
        </w:tc>
      </w:tr>
      <w:tr w:rsidR="00435BC3" w:rsidRPr="00B54C41" w:rsidTr="00604281">
        <w:trPr>
          <w:trHeight w:val="335"/>
          <w:jc w:val="center"/>
        </w:trPr>
        <w:tc>
          <w:tcPr>
            <w:tcW w:w="5332" w:type="dxa"/>
            <w:tcBorders>
              <w:top w:val="nil"/>
              <w:left w:val="single" w:sz="4" w:space="0" w:color="auto"/>
              <w:bottom w:val="single" w:sz="4" w:space="0" w:color="auto"/>
              <w:right w:val="single" w:sz="4" w:space="0" w:color="auto"/>
            </w:tcBorders>
            <w:shd w:val="clear" w:color="auto" w:fill="auto"/>
            <w:noWrap/>
            <w:vAlign w:val="bottom"/>
            <w:hideMark/>
          </w:tcPr>
          <w:p w:rsidR="00435BC3" w:rsidRPr="00B54C41" w:rsidRDefault="00435BC3" w:rsidP="00774104">
            <w:pPr>
              <w:spacing w:after="0" w:line="240" w:lineRule="auto"/>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33 KV Feeders</w:t>
            </w:r>
          </w:p>
        </w:tc>
        <w:tc>
          <w:tcPr>
            <w:tcW w:w="1372"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Nos.</w:t>
            </w:r>
          </w:p>
        </w:tc>
        <w:tc>
          <w:tcPr>
            <w:tcW w:w="2441"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1314</w:t>
            </w:r>
          </w:p>
        </w:tc>
      </w:tr>
      <w:tr w:rsidR="00435BC3" w:rsidRPr="00B54C41" w:rsidTr="00604281">
        <w:trPr>
          <w:trHeight w:val="335"/>
          <w:jc w:val="center"/>
        </w:trPr>
        <w:tc>
          <w:tcPr>
            <w:tcW w:w="5332" w:type="dxa"/>
            <w:tcBorders>
              <w:top w:val="nil"/>
              <w:left w:val="single" w:sz="4" w:space="0" w:color="auto"/>
              <w:bottom w:val="single" w:sz="4" w:space="0" w:color="auto"/>
              <w:right w:val="single" w:sz="4" w:space="0" w:color="auto"/>
            </w:tcBorders>
            <w:shd w:val="clear" w:color="auto" w:fill="auto"/>
            <w:noWrap/>
            <w:vAlign w:val="bottom"/>
            <w:hideMark/>
          </w:tcPr>
          <w:p w:rsidR="00435BC3" w:rsidRPr="00B54C41" w:rsidRDefault="00435BC3" w:rsidP="00774104">
            <w:pPr>
              <w:spacing w:after="0" w:line="240" w:lineRule="auto"/>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lastRenderedPageBreak/>
              <w:t>11 KV Feeders</w:t>
            </w:r>
          </w:p>
        </w:tc>
        <w:tc>
          <w:tcPr>
            <w:tcW w:w="1372"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Nos.</w:t>
            </w:r>
          </w:p>
        </w:tc>
        <w:tc>
          <w:tcPr>
            <w:tcW w:w="2441"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7865</w:t>
            </w:r>
          </w:p>
        </w:tc>
      </w:tr>
      <w:tr w:rsidR="00435BC3" w:rsidRPr="00B54C41" w:rsidTr="00604281">
        <w:trPr>
          <w:trHeight w:val="335"/>
          <w:jc w:val="center"/>
        </w:trPr>
        <w:tc>
          <w:tcPr>
            <w:tcW w:w="5332" w:type="dxa"/>
            <w:tcBorders>
              <w:top w:val="nil"/>
              <w:left w:val="single" w:sz="4" w:space="0" w:color="auto"/>
              <w:bottom w:val="single" w:sz="4" w:space="0" w:color="auto"/>
              <w:right w:val="single" w:sz="4" w:space="0" w:color="auto"/>
            </w:tcBorders>
            <w:shd w:val="clear" w:color="auto" w:fill="auto"/>
            <w:noWrap/>
            <w:vAlign w:val="bottom"/>
            <w:hideMark/>
          </w:tcPr>
          <w:p w:rsidR="00435BC3" w:rsidRPr="00B54C41" w:rsidRDefault="00435BC3" w:rsidP="00774104">
            <w:pPr>
              <w:spacing w:after="0" w:line="240" w:lineRule="auto"/>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Line length</w:t>
            </w:r>
          </w:p>
        </w:tc>
        <w:tc>
          <w:tcPr>
            <w:tcW w:w="1372"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KM</w:t>
            </w:r>
          </w:p>
        </w:tc>
        <w:tc>
          <w:tcPr>
            <w:tcW w:w="2441"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368100</w:t>
            </w:r>
          </w:p>
        </w:tc>
      </w:tr>
      <w:tr w:rsidR="00435BC3" w:rsidRPr="00B54C41" w:rsidTr="00604281">
        <w:trPr>
          <w:trHeight w:val="335"/>
          <w:jc w:val="center"/>
        </w:trPr>
        <w:tc>
          <w:tcPr>
            <w:tcW w:w="5332" w:type="dxa"/>
            <w:tcBorders>
              <w:top w:val="nil"/>
              <w:left w:val="single" w:sz="4" w:space="0" w:color="auto"/>
              <w:bottom w:val="single" w:sz="4" w:space="0" w:color="auto"/>
              <w:right w:val="single" w:sz="4" w:space="0" w:color="auto"/>
            </w:tcBorders>
            <w:shd w:val="clear" w:color="auto" w:fill="auto"/>
            <w:noWrap/>
            <w:vAlign w:val="bottom"/>
            <w:hideMark/>
          </w:tcPr>
          <w:p w:rsidR="00435BC3" w:rsidRPr="00B54C41" w:rsidRDefault="00435BC3" w:rsidP="00774104">
            <w:pPr>
              <w:spacing w:after="0" w:line="240" w:lineRule="auto"/>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Capacitor Bank</w:t>
            </w:r>
          </w:p>
        </w:tc>
        <w:tc>
          <w:tcPr>
            <w:tcW w:w="1372"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Nos.</w:t>
            </w:r>
          </w:p>
        </w:tc>
        <w:tc>
          <w:tcPr>
            <w:tcW w:w="2441" w:type="dxa"/>
            <w:tcBorders>
              <w:top w:val="nil"/>
              <w:left w:val="nil"/>
              <w:bottom w:val="single" w:sz="4" w:space="0" w:color="auto"/>
              <w:right w:val="single" w:sz="4" w:space="0" w:color="auto"/>
            </w:tcBorders>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color w:val="000000"/>
                <w:szCs w:val="24"/>
              </w:rPr>
            </w:pPr>
            <w:r w:rsidRPr="00B54C41">
              <w:rPr>
                <w:rFonts w:asciiTheme="minorHAnsi" w:eastAsia="Times New Roman" w:hAnsiTheme="minorHAnsi" w:cstheme="minorHAnsi"/>
                <w:color w:val="000000"/>
                <w:szCs w:val="24"/>
              </w:rPr>
              <w:t>1583</w:t>
            </w:r>
          </w:p>
        </w:tc>
      </w:tr>
    </w:tbl>
    <w:p w:rsidR="00435BC3" w:rsidRPr="00E54CCD" w:rsidRDefault="00435BC3" w:rsidP="00435BC3">
      <w:pPr>
        <w:pStyle w:val="ListParagraph"/>
        <w:tabs>
          <w:tab w:val="left" w:pos="270"/>
        </w:tabs>
        <w:ind w:left="270"/>
        <w:jc w:val="both"/>
        <w:rPr>
          <w:rFonts w:asciiTheme="minorHAnsi" w:hAnsiTheme="minorHAnsi" w:cstheme="minorHAnsi"/>
          <w:sz w:val="16"/>
          <w:szCs w:val="16"/>
        </w:rPr>
      </w:pPr>
      <w:r w:rsidRPr="00E54CCD">
        <w:rPr>
          <w:rFonts w:asciiTheme="minorHAnsi" w:hAnsiTheme="minorHAnsi" w:cstheme="minorHAnsi"/>
          <w:sz w:val="16"/>
          <w:szCs w:val="16"/>
        </w:rPr>
        <w:t>Data as on June 2022</w:t>
      </w:r>
    </w:p>
    <w:p w:rsidR="00435BC3" w:rsidRPr="00B54C41" w:rsidRDefault="00435BC3" w:rsidP="00435BC3">
      <w:pPr>
        <w:pStyle w:val="ListParagraph"/>
        <w:tabs>
          <w:tab w:val="left" w:pos="270"/>
        </w:tabs>
        <w:ind w:left="270"/>
        <w:jc w:val="both"/>
        <w:rPr>
          <w:rFonts w:asciiTheme="minorHAnsi" w:hAnsiTheme="minorHAnsi" w:cstheme="minorHAnsi"/>
          <w:szCs w:val="24"/>
        </w:rPr>
      </w:pPr>
    </w:p>
    <w:p w:rsidR="00435BC3" w:rsidRPr="00B54C41" w:rsidRDefault="00435BC3" w:rsidP="00435BC3">
      <w:pPr>
        <w:pStyle w:val="ListParagraph"/>
        <w:tabs>
          <w:tab w:val="left" w:pos="270"/>
        </w:tabs>
        <w:ind w:left="270"/>
        <w:jc w:val="both"/>
        <w:rPr>
          <w:rFonts w:asciiTheme="minorHAnsi" w:hAnsiTheme="minorHAnsi" w:cstheme="minorHAnsi"/>
          <w:szCs w:val="24"/>
        </w:rPr>
      </w:pPr>
    </w:p>
    <w:p w:rsidR="00435BC3" w:rsidRPr="00B54C41" w:rsidRDefault="00435BC3" w:rsidP="00435BC3">
      <w:pPr>
        <w:pStyle w:val="ListParagraph"/>
        <w:numPr>
          <w:ilvl w:val="0"/>
          <w:numId w:val="17"/>
        </w:numPr>
        <w:tabs>
          <w:tab w:val="left" w:pos="270"/>
        </w:tabs>
        <w:ind w:left="270" w:hanging="270"/>
        <w:jc w:val="both"/>
        <w:rPr>
          <w:rFonts w:asciiTheme="minorHAnsi" w:hAnsiTheme="minorHAnsi" w:cstheme="minorHAnsi"/>
          <w:b/>
          <w:bCs/>
          <w:szCs w:val="24"/>
        </w:rPr>
      </w:pPr>
      <w:r w:rsidRPr="00B54C41">
        <w:rPr>
          <w:rFonts w:asciiTheme="minorHAnsi" w:hAnsiTheme="minorHAnsi" w:cstheme="minorHAnsi"/>
          <w:b/>
          <w:bCs/>
          <w:szCs w:val="24"/>
        </w:rPr>
        <w:t>Consumer &amp; Peak Demand Growth in 4</w:t>
      </w:r>
      <w:r w:rsidRPr="00B54C41">
        <w:rPr>
          <w:rFonts w:asciiTheme="minorHAnsi" w:hAnsiTheme="minorHAnsi" w:cstheme="minorHAnsi"/>
          <w:b/>
          <w:bCs/>
          <w:szCs w:val="24"/>
          <w:vertAlign w:val="superscript"/>
        </w:rPr>
        <w:t>th</w:t>
      </w:r>
      <w:r w:rsidRPr="00B54C41">
        <w:rPr>
          <w:rFonts w:asciiTheme="minorHAnsi" w:hAnsiTheme="minorHAnsi" w:cstheme="minorHAnsi"/>
          <w:b/>
          <w:bCs/>
          <w:szCs w:val="24"/>
        </w:rPr>
        <w:t xml:space="preserve"> CP:</w:t>
      </w:r>
    </w:p>
    <w:p w:rsidR="00435BC3" w:rsidRPr="00B54C41" w:rsidRDefault="00435BC3" w:rsidP="00435BC3">
      <w:pPr>
        <w:pStyle w:val="ListParagraph"/>
        <w:tabs>
          <w:tab w:val="left" w:pos="270"/>
        </w:tabs>
        <w:ind w:left="270"/>
        <w:jc w:val="both"/>
        <w:rPr>
          <w:rFonts w:asciiTheme="minorHAnsi" w:hAnsiTheme="minorHAnsi" w:cstheme="minorHAnsi"/>
          <w:b/>
          <w:bCs/>
          <w:szCs w:val="24"/>
        </w:rPr>
      </w:pPr>
    </w:p>
    <w:p w:rsidR="00435BC3" w:rsidRPr="00B54C41" w:rsidRDefault="00435BC3" w:rsidP="00604281">
      <w:pPr>
        <w:pStyle w:val="ListParagraph"/>
        <w:tabs>
          <w:tab w:val="left" w:pos="270"/>
        </w:tabs>
        <w:ind w:left="270"/>
        <w:jc w:val="center"/>
        <w:rPr>
          <w:rFonts w:asciiTheme="minorHAnsi" w:hAnsiTheme="minorHAnsi" w:cstheme="minorHAnsi"/>
          <w:b/>
          <w:bCs/>
          <w:szCs w:val="24"/>
        </w:rPr>
      </w:pPr>
      <w:r w:rsidRPr="00B54C41">
        <w:rPr>
          <w:rFonts w:asciiTheme="minorHAnsi" w:hAnsiTheme="minorHAnsi" w:cstheme="minorHAnsi"/>
          <w:noProof/>
          <w:szCs w:val="24"/>
        </w:rPr>
        <w:drawing>
          <wp:inline distT="0" distB="0" distL="0" distR="0">
            <wp:extent cx="5703570" cy="3737429"/>
            <wp:effectExtent l="0" t="0" r="11430" b="15875"/>
            <wp:docPr id="4" name="Chart 4">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B5818AF8-7A87-4C9F-A1E0-4D6327463E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35BC3" w:rsidRPr="00B54C41" w:rsidRDefault="00435BC3" w:rsidP="00435BC3">
      <w:pPr>
        <w:pStyle w:val="ListParagraph"/>
        <w:tabs>
          <w:tab w:val="left" w:pos="270"/>
        </w:tabs>
        <w:ind w:left="270"/>
        <w:jc w:val="both"/>
        <w:rPr>
          <w:rFonts w:asciiTheme="minorHAnsi" w:hAnsiTheme="minorHAnsi" w:cstheme="minorHAnsi"/>
          <w:b/>
          <w:bCs/>
          <w:szCs w:val="24"/>
        </w:rPr>
      </w:pPr>
    </w:p>
    <w:p w:rsidR="00435BC3" w:rsidRPr="00B54C41" w:rsidRDefault="00435BC3" w:rsidP="00604281">
      <w:pPr>
        <w:pStyle w:val="ListParagraph"/>
        <w:tabs>
          <w:tab w:val="left" w:pos="270"/>
        </w:tabs>
        <w:ind w:left="270"/>
        <w:jc w:val="center"/>
        <w:rPr>
          <w:rFonts w:asciiTheme="minorHAnsi" w:hAnsiTheme="minorHAnsi" w:cstheme="minorHAnsi"/>
          <w:b/>
          <w:bCs/>
          <w:szCs w:val="24"/>
        </w:rPr>
      </w:pPr>
      <w:r w:rsidRPr="00B54C41">
        <w:rPr>
          <w:rFonts w:asciiTheme="minorHAnsi" w:hAnsiTheme="minorHAnsi" w:cstheme="minorHAnsi"/>
          <w:noProof/>
          <w:szCs w:val="24"/>
        </w:rPr>
        <w:lastRenderedPageBreak/>
        <w:drawing>
          <wp:inline distT="0" distB="0" distL="0" distR="0">
            <wp:extent cx="5703570" cy="3831771"/>
            <wp:effectExtent l="0" t="0" r="11430" b="16510"/>
            <wp:docPr id="6" name="Chart 6">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A36F246D-57B5-4E99-85DF-1FCC3D45BE3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35BC3" w:rsidRPr="00B54C41" w:rsidRDefault="00435BC3" w:rsidP="00435BC3">
      <w:pPr>
        <w:pStyle w:val="ListParagraph"/>
        <w:numPr>
          <w:ilvl w:val="0"/>
          <w:numId w:val="17"/>
        </w:numPr>
        <w:tabs>
          <w:tab w:val="left" w:pos="270"/>
        </w:tabs>
        <w:ind w:left="270" w:hanging="270"/>
        <w:jc w:val="both"/>
        <w:rPr>
          <w:rFonts w:asciiTheme="minorHAnsi" w:hAnsiTheme="minorHAnsi" w:cstheme="minorHAnsi"/>
          <w:b/>
          <w:bCs/>
          <w:szCs w:val="24"/>
        </w:rPr>
      </w:pPr>
      <w:r w:rsidRPr="00B54C41">
        <w:rPr>
          <w:rFonts w:asciiTheme="minorHAnsi" w:hAnsiTheme="minorHAnsi" w:cstheme="minorHAnsi"/>
          <w:b/>
          <w:bCs/>
          <w:szCs w:val="24"/>
        </w:rPr>
        <w:t>Investment Summary of 4</w:t>
      </w:r>
      <w:r w:rsidRPr="00B54C41">
        <w:rPr>
          <w:rFonts w:asciiTheme="minorHAnsi" w:hAnsiTheme="minorHAnsi" w:cstheme="minorHAnsi"/>
          <w:b/>
          <w:bCs/>
          <w:szCs w:val="24"/>
          <w:vertAlign w:val="superscript"/>
        </w:rPr>
        <w:t>th</w:t>
      </w:r>
      <w:r w:rsidRPr="00B54C41">
        <w:rPr>
          <w:rFonts w:asciiTheme="minorHAnsi" w:hAnsiTheme="minorHAnsi" w:cstheme="minorHAnsi"/>
          <w:b/>
          <w:bCs/>
          <w:szCs w:val="24"/>
        </w:rPr>
        <w:t xml:space="preserve"> Control Period:</w:t>
      </w:r>
    </w:p>
    <w:p w:rsidR="00435BC3" w:rsidRPr="00B54C41" w:rsidRDefault="00435BC3" w:rsidP="00435BC3">
      <w:pPr>
        <w:jc w:val="both"/>
        <w:rPr>
          <w:rFonts w:asciiTheme="minorHAnsi" w:hAnsiTheme="minorHAnsi" w:cstheme="minorHAnsi"/>
          <w:szCs w:val="24"/>
        </w:rPr>
      </w:pPr>
      <w:r w:rsidRPr="00B54C41">
        <w:rPr>
          <w:rFonts w:asciiTheme="minorHAnsi" w:hAnsiTheme="minorHAnsi" w:cstheme="minorHAnsi"/>
          <w:szCs w:val="24"/>
        </w:rPr>
        <w:t>The summary of the Capex filed, approved in Distribution MYT order and Actual expenditure against the approved capex for the 4</w:t>
      </w:r>
      <w:r w:rsidRPr="00B54C41">
        <w:rPr>
          <w:rFonts w:asciiTheme="minorHAnsi" w:hAnsiTheme="minorHAnsi" w:cstheme="minorHAnsi"/>
          <w:szCs w:val="24"/>
          <w:vertAlign w:val="superscript"/>
        </w:rPr>
        <w:t>th</w:t>
      </w:r>
      <w:r w:rsidRPr="00B54C41">
        <w:rPr>
          <w:rFonts w:asciiTheme="minorHAnsi" w:hAnsiTheme="minorHAnsi" w:cstheme="minorHAnsi"/>
          <w:szCs w:val="24"/>
        </w:rPr>
        <w:t xml:space="preserve"> Control Period (FY 2019-20 to FY 2023-24) is as given below:</w:t>
      </w:r>
    </w:p>
    <w:tbl>
      <w:tblPr>
        <w:tblW w:w="7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0"/>
        <w:gridCol w:w="1189"/>
        <w:gridCol w:w="1601"/>
        <w:gridCol w:w="1440"/>
        <w:gridCol w:w="1350"/>
        <w:gridCol w:w="1260"/>
      </w:tblGrid>
      <w:tr w:rsidR="00435BC3" w:rsidRPr="00B54C41" w:rsidTr="00604281">
        <w:trPr>
          <w:trHeight w:val="288"/>
          <w:jc w:val="center"/>
        </w:trPr>
        <w:tc>
          <w:tcPr>
            <w:tcW w:w="7920" w:type="dxa"/>
            <w:gridSpan w:val="6"/>
            <w:shd w:val="clear" w:color="auto" w:fill="auto"/>
            <w:noWrap/>
            <w:vAlign w:val="center"/>
          </w:tcPr>
          <w:p w:rsidR="00435BC3" w:rsidRPr="00B54C41" w:rsidRDefault="00435BC3" w:rsidP="00774104">
            <w:pPr>
              <w:spacing w:after="0" w:line="240" w:lineRule="auto"/>
              <w:jc w:val="center"/>
              <w:rPr>
                <w:rFonts w:asciiTheme="minorHAnsi" w:eastAsia="Times New Roman" w:hAnsiTheme="minorHAnsi" w:cstheme="minorHAnsi"/>
                <w:b/>
                <w:bCs/>
                <w:szCs w:val="24"/>
              </w:rPr>
            </w:pPr>
            <w:r w:rsidRPr="00B54C41">
              <w:rPr>
                <w:rFonts w:asciiTheme="minorHAnsi" w:eastAsia="Times New Roman" w:hAnsiTheme="minorHAnsi" w:cstheme="minorHAnsi"/>
                <w:b/>
                <w:bCs/>
                <w:szCs w:val="24"/>
              </w:rPr>
              <w:t>TSSPDCL Capex (in Rs. Crore)</w:t>
            </w:r>
          </w:p>
        </w:tc>
      </w:tr>
      <w:tr w:rsidR="00435BC3" w:rsidRPr="00B54C41" w:rsidTr="00604281">
        <w:trPr>
          <w:trHeight w:val="1040"/>
          <w:jc w:val="center"/>
        </w:trPr>
        <w:tc>
          <w:tcPr>
            <w:tcW w:w="108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b/>
                <w:bCs/>
                <w:szCs w:val="24"/>
              </w:rPr>
            </w:pPr>
            <w:r w:rsidRPr="00B54C41">
              <w:rPr>
                <w:rFonts w:asciiTheme="minorHAnsi" w:eastAsia="Times New Roman" w:hAnsiTheme="minorHAnsi" w:cstheme="minorHAnsi"/>
                <w:b/>
                <w:bCs/>
                <w:szCs w:val="24"/>
              </w:rPr>
              <w:t>FY</w:t>
            </w:r>
          </w:p>
        </w:tc>
        <w:tc>
          <w:tcPr>
            <w:tcW w:w="1189"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b/>
                <w:bCs/>
                <w:szCs w:val="24"/>
              </w:rPr>
            </w:pPr>
            <w:r w:rsidRPr="00B54C41">
              <w:rPr>
                <w:rFonts w:asciiTheme="minorHAnsi" w:eastAsia="Times New Roman" w:hAnsiTheme="minorHAnsi" w:cstheme="minorHAnsi"/>
                <w:b/>
                <w:bCs/>
                <w:szCs w:val="24"/>
              </w:rPr>
              <w:t>Filed Capex</w:t>
            </w:r>
          </w:p>
        </w:tc>
        <w:tc>
          <w:tcPr>
            <w:tcW w:w="1601"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b/>
                <w:bCs/>
                <w:szCs w:val="24"/>
              </w:rPr>
            </w:pPr>
            <w:r w:rsidRPr="00B54C41">
              <w:rPr>
                <w:rFonts w:asciiTheme="minorHAnsi" w:eastAsia="Times New Roman" w:hAnsiTheme="minorHAnsi" w:cstheme="minorHAnsi"/>
                <w:b/>
                <w:bCs/>
                <w:szCs w:val="24"/>
              </w:rPr>
              <w:t>Approved Capex</w:t>
            </w:r>
          </w:p>
        </w:tc>
        <w:tc>
          <w:tcPr>
            <w:tcW w:w="144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b/>
                <w:bCs/>
                <w:szCs w:val="24"/>
              </w:rPr>
            </w:pPr>
            <w:r w:rsidRPr="00B54C41">
              <w:rPr>
                <w:rFonts w:asciiTheme="minorHAnsi" w:eastAsia="Times New Roman" w:hAnsiTheme="minorHAnsi" w:cstheme="minorHAnsi"/>
                <w:b/>
                <w:bCs/>
                <w:szCs w:val="24"/>
              </w:rPr>
              <w:t>Actual Capex</w:t>
            </w:r>
          </w:p>
        </w:tc>
        <w:tc>
          <w:tcPr>
            <w:tcW w:w="1350" w:type="dxa"/>
            <w:shd w:val="clear" w:color="auto" w:fill="auto"/>
            <w:vAlign w:val="center"/>
            <w:hideMark/>
          </w:tcPr>
          <w:p w:rsidR="00435BC3" w:rsidRPr="00B54C41" w:rsidRDefault="00435BC3" w:rsidP="00774104">
            <w:pPr>
              <w:spacing w:after="0" w:line="240" w:lineRule="auto"/>
              <w:jc w:val="center"/>
              <w:rPr>
                <w:rFonts w:asciiTheme="minorHAnsi" w:eastAsia="Times New Roman" w:hAnsiTheme="minorHAnsi" w:cstheme="minorHAnsi"/>
                <w:b/>
                <w:bCs/>
                <w:szCs w:val="24"/>
              </w:rPr>
            </w:pPr>
            <w:r w:rsidRPr="00B54C41">
              <w:rPr>
                <w:rFonts w:asciiTheme="minorHAnsi" w:eastAsia="Times New Roman" w:hAnsiTheme="minorHAnsi" w:cstheme="minorHAnsi"/>
                <w:b/>
                <w:bCs/>
                <w:szCs w:val="24"/>
              </w:rPr>
              <w:t>Variation (Approved over Filed)</w:t>
            </w:r>
          </w:p>
        </w:tc>
        <w:tc>
          <w:tcPr>
            <w:tcW w:w="1260" w:type="dxa"/>
            <w:shd w:val="clear" w:color="auto" w:fill="auto"/>
            <w:vAlign w:val="center"/>
            <w:hideMark/>
          </w:tcPr>
          <w:p w:rsidR="00435BC3" w:rsidRPr="00B54C41" w:rsidRDefault="00435BC3" w:rsidP="00774104">
            <w:pPr>
              <w:spacing w:after="0" w:line="240" w:lineRule="auto"/>
              <w:jc w:val="center"/>
              <w:rPr>
                <w:rFonts w:asciiTheme="minorHAnsi" w:eastAsia="Times New Roman" w:hAnsiTheme="minorHAnsi" w:cstheme="minorHAnsi"/>
                <w:b/>
                <w:bCs/>
                <w:szCs w:val="24"/>
              </w:rPr>
            </w:pPr>
            <w:r w:rsidRPr="00B54C41">
              <w:rPr>
                <w:rFonts w:asciiTheme="minorHAnsi" w:eastAsia="Times New Roman" w:hAnsiTheme="minorHAnsi" w:cstheme="minorHAnsi"/>
                <w:b/>
                <w:bCs/>
                <w:szCs w:val="24"/>
              </w:rPr>
              <w:t>Variation (Actual over Approved)</w:t>
            </w:r>
          </w:p>
        </w:tc>
      </w:tr>
      <w:tr w:rsidR="00435BC3" w:rsidRPr="00B54C41" w:rsidTr="00604281">
        <w:trPr>
          <w:trHeight w:val="250"/>
          <w:jc w:val="center"/>
        </w:trPr>
        <w:tc>
          <w:tcPr>
            <w:tcW w:w="108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2019-20</w:t>
            </w:r>
          </w:p>
        </w:tc>
        <w:tc>
          <w:tcPr>
            <w:tcW w:w="1189"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1632.06</w:t>
            </w:r>
          </w:p>
        </w:tc>
        <w:tc>
          <w:tcPr>
            <w:tcW w:w="1601"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1120.93</w:t>
            </w:r>
          </w:p>
        </w:tc>
        <w:tc>
          <w:tcPr>
            <w:tcW w:w="144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1384.82</w:t>
            </w:r>
          </w:p>
        </w:tc>
        <w:tc>
          <w:tcPr>
            <w:tcW w:w="135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-31%</w:t>
            </w:r>
          </w:p>
        </w:tc>
        <w:tc>
          <w:tcPr>
            <w:tcW w:w="126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24%</w:t>
            </w:r>
          </w:p>
        </w:tc>
      </w:tr>
      <w:tr w:rsidR="00435BC3" w:rsidRPr="00B54C41" w:rsidTr="00604281">
        <w:trPr>
          <w:trHeight w:val="250"/>
          <w:jc w:val="center"/>
        </w:trPr>
        <w:tc>
          <w:tcPr>
            <w:tcW w:w="108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2020-21</w:t>
            </w:r>
          </w:p>
        </w:tc>
        <w:tc>
          <w:tcPr>
            <w:tcW w:w="1189"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1736.13</w:t>
            </w:r>
          </w:p>
        </w:tc>
        <w:tc>
          <w:tcPr>
            <w:tcW w:w="1601"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1420.34</w:t>
            </w:r>
          </w:p>
        </w:tc>
        <w:tc>
          <w:tcPr>
            <w:tcW w:w="144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1205.88</w:t>
            </w:r>
          </w:p>
        </w:tc>
        <w:tc>
          <w:tcPr>
            <w:tcW w:w="135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-18%</w:t>
            </w:r>
          </w:p>
        </w:tc>
        <w:tc>
          <w:tcPr>
            <w:tcW w:w="126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-15%</w:t>
            </w:r>
          </w:p>
        </w:tc>
      </w:tr>
      <w:tr w:rsidR="00435BC3" w:rsidRPr="00B54C41" w:rsidTr="00604281">
        <w:trPr>
          <w:trHeight w:val="250"/>
          <w:jc w:val="center"/>
        </w:trPr>
        <w:tc>
          <w:tcPr>
            <w:tcW w:w="108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2021-22</w:t>
            </w:r>
          </w:p>
        </w:tc>
        <w:tc>
          <w:tcPr>
            <w:tcW w:w="1189"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2248.32</w:t>
            </w:r>
          </w:p>
        </w:tc>
        <w:tc>
          <w:tcPr>
            <w:tcW w:w="1601"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1881.41</w:t>
            </w:r>
          </w:p>
        </w:tc>
        <w:tc>
          <w:tcPr>
            <w:tcW w:w="144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1379.28</w:t>
            </w:r>
          </w:p>
        </w:tc>
        <w:tc>
          <w:tcPr>
            <w:tcW w:w="135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-16%</w:t>
            </w:r>
          </w:p>
        </w:tc>
        <w:tc>
          <w:tcPr>
            <w:tcW w:w="126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-27%</w:t>
            </w:r>
          </w:p>
        </w:tc>
      </w:tr>
      <w:tr w:rsidR="00435BC3" w:rsidRPr="00B54C41" w:rsidTr="00604281">
        <w:trPr>
          <w:trHeight w:val="250"/>
          <w:jc w:val="center"/>
        </w:trPr>
        <w:tc>
          <w:tcPr>
            <w:tcW w:w="108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2022-23</w:t>
            </w:r>
          </w:p>
        </w:tc>
        <w:tc>
          <w:tcPr>
            <w:tcW w:w="1189"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2741.42</w:t>
            </w:r>
          </w:p>
        </w:tc>
        <w:tc>
          <w:tcPr>
            <w:tcW w:w="1601"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2150.7</w:t>
            </w:r>
          </w:p>
        </w:tc>
        <w:tc>
          <w:tcPr>
            <w:tcW w:w="144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 </w:t>
            </w:r>
            <w:r w:rsidR="002E1722">
              <w:rPr>
                <w:rFonts w:asciiTheme="minorHAnsi" w:eastAsia="Times New Roman" w:hAnsiTheme="minorHAnsi" w:cstheme="minorHAnsi"/>
                <w:szCs w:val="24"/>
              </w:rPr>
              <w:t>1606.63</w:t>
            </w:r>
          </w:p>
        </w:tc>
        <w:tc>
          <w:tcPr>
            <w:tcW w:w="135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-22%</w:t>
            </w:r>
          </w:p>
        </w:tc>
        <w:tc>
          <w:tcPr>
            <w:tcW w:w="126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 </w:t>
            </w:r>
            <w:r w:rsidR="002E1722">
              <w:rPr>
                <w:rFonts w:asciiTheme="minorHAnsi" w:eastAsia="Times New Roman" w:hAnsiTheme="minorHAnsi" w:cstheme="minorHAnsi"/>
                <w:szCs w:val="24"/>
              </w:rPr>
              <w:t>-25%</w:t>
            </w:r>
          </w:p>
        </w:tc>
      </w:tr>
      <w:tr w:rsidR="00435BC3" w:rsidRPr="00B54C41" w:rsidTr="00604281">
        <w:trPr>
          <w:trHeight w:val="250"/>
          <w:jc w:val="center"/>
        </w:trPr>
        <w:tc>
          <w:tcPr>
            <w:tcW w:w="108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2023-24</w:t>
            </w:r>
          </w:p>
        </w:tc>
        <w:tc>
          <w:tcPr>
            <w:tcW w:w="1189"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2903.52</w:t>
            </w:r>
          </w:p>
        </w:tc>
        <w:tc>
          <w:tcPr>
            <w:tcW w:w="1601"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2299.35</w:t>
            </w:r>
          </w:p>
        </w:tc>
        <w:tc>
          <w:tcPr>
            <w:tcW w:w="144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 </w:t>
            </w:r>
          </w:p>
        </w:tc>
        <w:tc>
          <w:tcPr>
            <w:tcW w:w="135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-21%</w:t>
            </w:r>
          </w:p>
        </w:tc>
        <w:tc>
          <w:tcPr>
            <w:tcW w:w="126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 </w:t>
            </w:r>
          </w:p>
        </w:tc>
      </w:tr>
      <w:tr w:rsidR="00435BC3" w:rsidRPr="00B54C41" w:rsidTr="00604281">
        <w:trPr>
          <w:trHeight w:val="260"/>
          <w:jc w:val="center"/>
        </w:trPr>
        <w:tc>
          <w:tcPr>
            <w:tcW w:w="108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b/>
                <w:bCs/>
                <w:szCs w:val="24"/>
              </w:rPr>
            </w:pPr>
            <w:r w:rsidRPr="00B54C41">
              <w:rPr>
                <w:rFonts w:asciiTheme="minorHAnsi" w:eastAsia="Times New Roman" w:hAnsiTheme="minorHAnsi" w:cstheme="minorHAnsi"/>
                <w:b/>
                <w:bCs/>
                <w:szCs w:val="24"/>
              </w:rPr>
              <w:t>Total</w:t>
            </w:r>
          </w:p>
        </w:tc>
        <w:tc>
          <w:tcPr>
            <w:tcW w:w="1189"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b/>
                <w:bCs/>
                <w:szCs w:val="24"/>
              </w:rPr>
            </w:pPr>
            <w:r w:rsidRPr="00B54C41">
              <w:rPr>
                <w:rFonts w:asciiTheme="minorHAnsi" w:eastAsia="Times New Roman" w:hAnsiTheme="minorHAnsi" w:cstheme="minorHAnsi"/>
                <w:b/>
                <w:bCs/>
                <w:szCs w:val="24"/>
              </w:rPr>
              <w:t>11261.45</w:t>
            </w:r>
          </w:p>
        </w:tc>
        <w:tc>
          <w:tcPr>
            <w:tcW w:w="1601"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b/>
                <w:bCs/>
                <w:szCs w:val="24"/>
              </w:rPr>
            </w:pPr>
            <w:r w:rsidRPr="00B54C41">
              <w:rPr>
                <w:rFonts w:asciiTheme="minorHAnsi" w:eastAsia="Times New Roman" w:hAnsiTheme="minorHAnsi" w:cstheme="minorHAnsi"/>
                <w:b/>
                <w:bCs/>
                <w:szCs w:val="24"/>
              </w:rPr>
              <w:t>8872.73</w:t>
            </w:r>
          </w:p>
        </w:tc>
        <w:tc>
          <w:tcPr>
            <w:tcW w:w="1440" w:type="dxa"/>
            <w:shd w:val="clear" w:color="auto" w:fill="auto"/>
            <w:noWrap/>
            <w:vAlign w:val="center"/>
            <w:hideMark/>
          </w:tcPr>
          <w:p w:rsidR="00435BC3" w:rsidRPr="00B54C41" w:rsidRDefault="003A5B9C" w:rsidP="00774104">
            <w:pPr>
              <w:spacing w:after="0" w:line="240" w:lineRule="auto"/>
              <w:jc w:val="center"/>
              <w:rPr>
                <w:rFonts w:asciiTheme="minorHAnsi" w:eastAsia="Times New Roman" w:hAnsiTheme="minorHAnsi" w:cstheme="minorHAnsi"/>
                <w:b/>
                <w:bCs/>
                <w:szCs w:val="24"/>
              </w:rPr>
            </w:pPr>
            <w:r>
              <w:rPr>
                <w:rFonts w:asciiTheme="minorHAnsi" w:eastAsia="Times New Roman" w:hAnsiTheme="minorHAnsi" w:cstheme="minorHAnsi"/>
                <w:b/>
                <w:bCs/>
                <w:szCs w:val="24"/>
              </w:rPr>
              <w:t>5576.</w:t>
            </w:r>
            <w:r w:rsidR="00674AFA">
              <w:rPr>
                <w:rFonts w:asciiTheme="minorHAnsi" w:eastAsia="Times New Roman" w:hAnsiTheme="minorHAnsi" w:cstheme="minorHAnsi"/>
                <w:b/>
                <w:bCs/>
                <w:szCs w:val="24"/>
              </w:rPr>
              <w:t>61</w:t>
            </w:r>
          </w:p>
        </w:tc>
        <w:tc>
          <w:tcPr>
            <w:tcW w:w="135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-21%</w:t>
            </w:r>
          </w:p>
        </w:tc>
        <w:tc>
          <w:tcPr>
            <w:tcW w:w="1260" w:type="dxa"/>
            <w:shd w:val="clear" w:color="auto" w:fill="auto"/>
            <w:noWrap/>
            <w:vAlign w:val="center"/>
            <w:hideMark/>
          </w:tcPr>
          <w:p w:rsidR="00435BC3" w:rsidRPr="00B54C41" w:rsidRDefault="00435BC3" w:rsidP="00774104">
            <w:pPr>
              <w:spacing w:after="0" w:line="240" w:lineRule="auto"/>
              <w:jc w:val="center"/>
              <w:rPr>
                <w:rFonts w:asciiTheme="minorHAnsi" w:eastAsia="Times New Roman" w:hAnsiTheme="minorHAnsi" w:cstheme="minorHAnsi"/>
                <w:szCs w:val="24"/>
              </w:rPr>
            </w:pPr>
            <w:r w:rsidRPr="00B54C41">
              <w:rPr>
                <w:rFonts w:asciiTheme="minorHAnsi" w:eastAsia="Times New Roman" w:hAnsiTheme="minorHAnsi" w:cstheme="minorHAnsi"/>
                <w:szCs w:val="24"/>
              </w:rPr>
              <w:t> </w:t>
            </w:r>
          </w:p>
        </w:tc>
      </w:tr>
    </w:tbl>
    <w:p w:rsidR="00214287" w:rsidRDefault="00214287" w:rsidP="00214287">
      <w:pPr>
        <w:pStyle w:val="ListParagraph"/>
        <w:jc w:val="both"/>
        <w:rPr>
          <w:rFonts w:asciiTheme="minorHAnsi" w:hAnsiTheme="minorHAnsi" w:cstheme="minorHAnsi"/>
          <w:sz w:val="16"/>
          <w:szCs w:val="16"/>
        </w:rPr>
      </w:pPr>
      <w:r w:rsidRPr="00604281">
        <w:rPr>
          <w:rFonts w:asciiTheme="minorHAnsi" w:hAnsiTheme="minorHAnsi" w:cstheme="minorHAnsi"/>
          <w:sz w:val="16"/>
          <w:szCs w:val="16"/>
        </w:rPr>
        <w:t>Note: Actual Capex for FY 2022-23 is Provisional Figure.</w:t>
      </w:r>
    </w:p>
    <w:p w:rsidR="00FA5343" w:rsidRPr="00FA5343" w:rsidRDefault="00FA5343" w:rsidP="00FA5343">
      <w:pPr>
        <w:pStyle w:val="ListParagraph"/>
        <w:jc w:val="both"/>
        <w:rPr>
          <w:rFonts w:asciiTheme="minorHAnsi" w:hAnsiTheme="minorHAnsi" w:cstheme="minorHAnsi"/>
          <w:sz w:val="16"/>
          <w:szCs w:val="16"/>
        </w:rPr>
      </w:pPr>
    </w:p>
    <w:p w:rsidR="00435BC3" w:rsidRPr="00B54C41" w:rsidRDefault="00435BC3" w:rsidP="00435BC3">
      <w:pPr>
        <w:pStyle w:val="ListParagraph"/>
        <w:numPr>
          <w:ilvl w:val="0"/>
          <w:numId w:val="15"/>
        </w:numPr>
        <w:jc w:val="both"/>
        <w:rPr>
          <w:rFonts w:asciiTheme="minorHAnsi" w:hAnsiTheme="minorHAnsi" w:cstheme="minorHAnsi"/>
          <w:szCs w:val="24"/>
        </w:rPr>
      </w:pPr>
      <w:r w:rsidRPr="00B54C41">
        <w:rPr>
          <w:rFonts w:asciiTheme="minorHAnsi" w:hAnsiTheme="minorHAnsi" w:cstheme="minorHAnsi"/>
          <w:szCs w:val="24"/>
        </w:rPr>
        <w:t>It can be observed that the variation in the Filed capex against the Approved number for 4</w:t>
      </w:r>
      <w:r w:rsidRPr="00B54C41">
        <w:rPr>
          <w:rFonts w:asciiTheme="minorHAnsi" w:hAnsiTheme="minorHAnsi" w:cstheme="minorHAnsi"/>
          <w:szCs w:val="24"/>
          <w:vertAlign w:val="superscript"/>
        </w:rPr>
        <w:t>th</w:t>
      </w:r>
      <w:r w:rsidRPr="00B54C41">
        <w:rPr>
          <w:rFonts w:asciiTheme="minorHAnsi" w:hAnsiTheme="minorHAnsi" w:cstheme="minorHAnsi"/>
          <w:szCs w:val="24"/>
        </w:rPr>
        <w:t xml:space="preserve"> Control Period is 21%. Further, for FY 2019-20, FY 2020-21</w:t>
      </w:r>
      <w:r w:rsidR="00B31994" w:rsidRPr="00B54C41">
        <w:rPr>
          <w:rFonts w:asciiTheme="minorHAnsi" w:hAnsiTheme="minorHAnsi" w:cstheme="minorHAnsi"/>
          <w:szCs w:val="24"/>
        </w:rPr>
        <w:t xml:space="preserve">, </w:t>
      </w:r>
      <w:r w:rsidRPr="00B54C41">
        <w:rPr>
          <w:rFonts w:asciiTheme="minorHAnsi" w:hAnsiTheme="minorHAnsi" w:cstheme="minorHAnsi"/>
          <w:szCs w:val="24"/>
        </w:rPr>
        <w:t>FY 2021-22</w:t>
      </w:r>
      <w:r w:rsidR="00FA5009">
        <w:rPr>
          <w:rFonts w:asciiTheme="minorHAnsi" w:hAnsiTheme="minorHAnsi" w:cstheme="minorHAnsi"/>
          <w:szCs w:val="24"/>
        </w:rPr>
        <w:t xml:space="preserve"> &amp; FY 2022-23</w:t>
      </w:r>
      <w:r w:rsidRPr="00B54C41">
        <w:rPr>
          <w:rFonts w:asciiTheme="minorHAnsi" w:hAnsiTheme="minorHAnsi" w:cstheme="minorHAnsi"/>
          <w:szCs w:val="24"/>
        </w:rPr>
        <w:t xml:space="preserve">, the variation in Actual expenditure incurred by DISCOM over the Approved expenditure is 24%, -15% </w:t>
      </w:r>
      <w:r w:rsidR="00FA5009">
        <w:rPr>
          <w:rFonts w:asciiTheme="minorHAnsi" w:hAnsiTheme="minorHAnsi" w:cstheme="minorHAnsi"/>
          <w:szCs w:val="24"/>
        </w:rPr>
        <w:t>,</w:t>
      </w:r>
      <w:r w:rsidRPr="00B54C41">
        <w:rPr>
          <w:rFonts w:asciiTheme="minorHAnsi" w:hAnsiTheme="minorHAnsi" w:cstheme="minorHAnsi"/>
          <w:szCs w:val="24"/>
        </w:rPr>
        <w:t xml:space="preserve">-27% </w:t>
      </w:r>
      <w:r w:rsidR="00FA5009">
        <w:rPr>
          <w:rFonts w:asciiTheme="minorHAnsi" w:hAnsiTheme="minorHAnsi" w:cstheme="minorHAnsi"/>
          <w:szCs w:val="24"/>
        </w:rPr>
        <w:t xml:space="preserve">&amp; -25% </w:t>
      </w:r>
      <w:r w:rsidRPr="00B54C41">
        <w:rPr>
          <w:rFonts w:asciiTheme="minorHAnsi" w:hAnsiTheme="minorHAnsi" w:cstheme="minorHAnsi"/>
          <w:szCs w:val="24"/>
        </w:rPr>
        <w:t>respectively.</w:t>
      </w:r>
    </w:p>
    <w:p w:rsidR="00435BC3" w:rsidRPr="00B54C41" w:rsidRDefault="00435BC3" w:rsidP="00435BC3">
      <w:pPr>
        <w:pStyle w:val="ListParagraph"/>
        <w:numPr>
          <w:ilvl w:val="0"/>
          <w:numId w:val="15"/>
        </w:numPr>
        <w:jc w:val="both"/>
        <w:rPr>
          <w:rFonts w:asciiTheme="minorHAnsi" w:hAnsiTheme="minorHAnsi" w:cstheme="minorHAnsi"/>
          <w:szCs w:val="24"/>
        </w:rPr>
      </w:pPr>
      <w:r w:rsidRPr="00B54C41">
        <w:rPr>
          <w:rFonts w:asciiTheme="minorHAnsi" w:hAnsiTheme="minorHAnsi" w:cstheme="minorHAnsi"/>
          <w:szCs w:val="24"/>
        </w:rPr>
        <w:lastRenderedPageBreak/>
        <w:t xml:space="preserve">It can be ascertained from the data given above that the cumulative capex expenditure in first </w:t>
      </w:r>
      <w:r w:rsidR="0007242B">
        <w:rPr>
          <w:rFonts w:asciiTheme="minorHAnsi" w:hAnsiTheme="minorHAnsi" w:cstheme="minorHAnsi"/>
          <w:szCs w:val="24"/>
        </w:rPr>
        <w:t>four</w:t>
      </w:r>
      <w:r w:rsidRPr="00B54C41">
        <w:rPr>
          <w:rFonts w:asciiTheme="minorHAnsi" w:hAnsiTheme="minorHAnsi" w:cstheme="minorHAnsi"/>
          <w:szCs w:val="24"/>
        </w:rPr>
        <w:t xml:space="preserve"> financial year of 4</w:t>
      </w:r>
      <w:r w:rsidRPr="00B54C41">
        <w:rPr>
          <w:rFonts w:asciiTheme="minorHAnsi" w:hAnsiTheme="minorHAnsi" w:cstheme="minorHAnsi"/>
          <w:szCs w:val="24"/>
          <w:vertAlign w:val="superscript"/>
        </w:rPr>
        <w:t>th</w:t>
      </w:r>
      <w:r w:rsidRPr="00B54C41">
        <w:rPr>
          <w:rFonts w:asciiTheme="minorHAnsi" w:hAnsiTheme="minorHAnsi" w:cstheme="minorHAnsi"/>
          <w:szCs w:val="24"/>
        </w:rPr>
        <w:t xml:space="preserve"> CP against the approved capex is almost </w:t>
      </w:r>
      <w:r w:rsidR="008C7258">
        <w:rPr>
          <w:rFonts w:asciiTheme="minorHAnsi" w:hAnsiTheme="minorHAnsi" w:cstheme="minorHAnsi"/>
          <w:szCs w:val="24"/>
        </w:rPr>
        <w:t>85</w:t>
      </w:r>
      <w:r w:rsidRPr="00B54C41">
        <w:rPr>
          <w:rFonts w:asciiTheme="minorHAnsi" w:hAnsiTheme="minorHAnsi" w:cstheme="minorHAnsi"/>
          <w:szCs w:val="24"/>
        </w:rPr>
        <w:t xml:space="preserve">%. </w:t>
      </w:r>
    </w:p>
    <w:p w:rsidR="00435BC3" w:rsidRPr="00B54C41" w:rsidRDefault="00435BC3" w:rsidP="00435BC3">
      <w:pPr>
        <w:pStyle w:val="ListParagraph"/>
        <w:numPr>
          <w:ilvl w:val="0"/>
          <w:numId w:val="15"/>
        </w:numPr>
        <w:jc w:val="both"/>
        <w:rPr>
          <w:rFonts w:asciiTheme="minorHAnsi" w:hAnsiTheme="minorHAnsi" w:cstheme="minorHAnsi"/>
          <w:szCs w:val="24"/>
        </w:rPr>
      </w:pPr>
      <w:r w:rsidRPr="00B54C41">
        <w:rPr>
          <w:rFonts w:asciiTheme="minorHAnsi" w:hAnsiTheme="minorHAnsi" w:cstheme="minorHAnsi"/>
          <w:szCs w:val="24"/>
        </w:rPr>
        <w:t>The reduction in expenditure in FY 2020-21 &amp; FY 2021-22 is mostly due to the impact of Covid-19 and consequent lockdowns imposed across the country. The Pandemic had widespread impact on the availability of skilled/unskilled labor and supply chain affecting the progress of existing work and further initiation of new projects.</w:t>
      </w:r>
    </w:p>
    <w:p w:rsidR="00435BC3" w:rsidRPr="00B54C41" w:rsidRDefault="00435BC3" w:rsidP="00435BC3">
      <w:pPr>
        <w:jc w:val="both"/>
        <w:rPr>
          <w:rFonts w:asciiTheme="minorHAnsi" w:hAnsiTheme="minorHAnsi" w:cstheme="minorHAnsi"/>
          <w:szCs w:val="24"/>
        </w:rPr>
      </w:pPr>
      <w:r w:rsidRPr="00B54C41">
        <w:rPr>
          <w:rFonts w:asciiTheme="minorHAnsi" w:hAnsiTheme="minorHAnsi" w:cstheme="minorHAnsi"/>
          <w:szCs w:val="24"/>
        </w:rPr>
        <w:t>Also, it is to be noted that the actual capital expenditure done by DISCOM depends on number of factors, some of which are beyond the control of the DISCOM, apart from the planning based on existing network situation, present network loading, projected future loads, loss reduction measures, reliability improvement measures etc.</w:t>
      </w:r>
    </w:p>
    <w:p w:rsidR="00435BC3" w:rsidRPr="00B54C41" w:rsidRDefault="00435BC3" w:rsidP="00435BC3">
      <w:pPr>
        <w:jc w:val="both"/>
        <w:rPr>
          <w:rFonts w:asciiTheme="minorHAnsi" w:hAnsiTheme="minorHAnsi" w:cstheme="minorHAnsi"/>
          <w:szCs w:val="24"/>
        </w:rPr>
      </w:pPr>
      <w:r w:rsidRPr="00B54C41">
        <w:rPr>
          <w:rFonts w:asciiTheme="minorHAnsi" w:hAnsiTheme="minorHAnsi" w:cstheme="minorHAnsi"/>
          <w:szCs w:val="24"/>
        </w:rPr>
        <w:t>The liquidity available with the DISCOM and funding from PFC/REC also plays a major role in the execution of planned capex which are beyond the control of DISCOM and is influenced by several external factor including the financial health of the Company.</w:t>
      </w:r>
    </w:p>
    <w:p w:rsidR="00435BC3" w:rsidRPr="00B54C41" w:rsidRDefault="00435BC3" w:rsidP="00435BC3">
      <w:pPr>
        <w:jc w:val="both"/>
        <w:rPr>
          <w:rFonts w:asciiTheme="minorHAnsi" w:hAnsiTheme="minorHAnsi" w:cstheme="minorHAnsi"/>
          <w:szCs w:val="24"/>
        </w:rPr>
      </w:pPr>
      <w:r w:rsidRPr="00B54C41">
        <w:rPr>
          <w:rFonts w:asciiTheme="minorHAnsi" w:hAnsiTheme="minorHAnsi" w:cstheme="minorHAnsi"/>
          <w:szCs w:val="24"/>
        </w:rPr>
        <w:t>Adoption of new technologies for monitoring of the network, providing quality &amp; reliable power supply, prompt service to the customers also depend to a large extent on the availability of fund for investment.</w:t>
      </w:r>
    </w:p>
    <w:p w:rsidR="00435BC3" w:rsidRPr="00B54C41" w:rsidRDefault="00435BC3" w:rsidP="00435BC3">
      <w:pPr>
        <w:spacing w:after="0"/>
        <w:jc w:val="both"/>
        <w:rPr>
          <w:rFonts w:asciiTheme="minorHAnsi" w:hAnsiTheme="minorHAnsi" w:cstheme="minorHAnsi"/>
          <w:szCs w:val="24"/>
        </w:rPr>
      </w:pPr>
      <w:r w:rsidRPr="00B54C41">
        <w:rPr>
          <w:rFonts w:asciiTheme="minorHAnsi" w:hAnsiTheme="minorHAnsi" w:cstheme="minorHAnsi"/>
          <w:szCs w:val="24"/>
        </w:rPr>
        <w:t>The expenditure after the approval of the Hon’ble commission is planned and executed by DISCOM in a phased manner and this process automatically considers any variation, if expected in projected loads.</w:t>
      </w:r>
    </w:p>
    <w:p w:rsidR="00435BC3" w:rsidRPr="00B54C41" w:rsidRDefault="00435BC3" w:rsidP="00435BC3">
      <w:pPr>
        <w:spacing w:after="0"/>
        <w:jc w:val="both"/>
        <w:rPr>
          <w:rFonts w:asciiTheme="minorHAnsi" w:hAnsiTheme="minorHAnsi" w:cstheme="minorHAnsi"/>
          <w:szCs w:val="24"/>
        </w:rPr>
      </w:pPr>
      <w:r w:rsidRPr="00B54C41">
        <w:rPr>
          <w:rFonts w:asciiTheme="minorHAnsi" w:hAnsiTheme="minorHAnsi" w:cstheme="minorHAnsi"/>
          <w:szCs w:val="24"/>
        </w:rPr>
        <w:t>The capital expenditure claimed in 4</w:t>
      </w:r>
      <w:r w:rsidRPr="00B54C41">
        <w:rPr>
          <w:rFonts w:asciiTheme="minorHAnsi" w:hAnsiTheme="minorHAnsi" w:cstheme="minorHAnsi"/>
          <w:szCs w:val="24"/>
          <w:vertAlign w:val="superscript"/>
        </w:rPr>
        <w:t>th</w:t>
      </w:r>
      <w:r w:rsidRPr="00B54C41">
        <w:rPr>
          <w:rFonts w:asciiTheme="minorHAnsi" w:hAnsiTheme="minorHAnsi" w:cstheme="minorHAnsi"/>
          <w:szCs w:val="24"/>
        </w:rPr>
        <w:t xml:space="preserve"> CP was based on planning as per the same methodology as has been considered in the Resource Plan petition for 5</w:t>
      </w:r>
      <w:r w:rsidRPr="00B54C41">
        <w:rPr>
          <w:rFonts w:asciiTheme="minorHAnsi" w:hAnsiTheme="minorHAnsi" w:cstheme="minorHAnsi"/>
          <w:szCs w:val="24"/>
          <w:vertAlign w:val="superscript"/>
        </w:rPr>
        <w:t>th</w:t>
      </w:r>
      <w:r w:rsidRPr="00B54C41">
        <w:rPr>
          <w:rFonts w:asciiTheme="minorHAnsi" w:hAnsiTheme="minorHAnsi" w:cstheme="minorHAnsi"/>
          <w:szCs w:val="24"/>
        </w:rPr>
        <w:t xml:space="preserve"> &amp; 6</w:t>
      </w:r>
      <w:r w:rsidRPr="00B54C41">
        <w:rPr>
          <w:rFonts w:asciiTheme="minorHAnsi" w:hAnsiTheme="minorHAnsi" w:cstheme="minorHAnsi"/>
          <w:szCs w:val="24"/>
          <w:vertAlign w:val="superscript"/>
        </w:rPr>
        <w:t>th</w:t>
      </w:r>
      <w:r w:rsidRPr="00B54C41">
        <w:rPr>
          <w:rFonts w:asciiTheme="minorHAnsi" w:hAnsiTheme="minorHAnsi" w:cstheme="minorHAnsi"/>
          <w:szCs w:val="24"/>
        </w:rPr>
        <w:t xml:space="preserve"> CP.</w:t>
      </w:r>
    </w:p>
    <w:p w:rsidR="00435BC3" w:rsidRPr="00B54C41" w:rsidRDefault="00435BC3" w:rsidP="00435BC3">
      <w:pPr>
        <w:spacing w:after="0"/>
        <w:jc w:val="both"/>
        <w:rPr>
          <w:rFonts w:asciiTheme="minorHAnsi" w:hAnsiTheme="minorHAnsi" w:cstheme="minorHAnsi"/>
          <w:szCs w:val="24"/>
        </w:rPr>
      </w:pPr>
    </w:p>
    <w:p w:rsidR="00435BC3" w:rsidRPr="00B54C41" w:rsidRDefault="00435BC3" w:rsidP="00435BC3">
      <w:pPr>
        <w:pStyle w:val="ListParagraph"/>
        <w:numPr>
          <w:ilvl w:val="0"/>
          <w:numId w:val="17"/>
        </w:numPr>
        <w:tabs>
          <w:tab w:val="left" w:pos="270"/>
        </w:tabs>
        <w:ind w:left="270" w:hanging="270"/>
        <w:jc w:val="both"/>
        <w:rPr>
          <w:rFonts w:asciiTheme="minorHAnsi" w:hAnsiTheme="minorHAnsi" w:cstheme="minorHAnsi"/>
          <w:b/>
          <w:bCs/>
          <w:szCs w:val="24"/>
        </w:rPr>
      </w:pPr>
      <w:r w:rsidRPr="00B54C41">
        <w:rPr>
          <w:rFonts w:asciiTheme="minorHAnsi" w:hAnsiTheme="minorHAnsi" w:cstheme="minorHAnsi"/>
          <w:b/>
          <w:bCs/>
          <w:szCs w:val="24"/>
        </w:rPr>
        <w:t>Impacts of capex expenditure in 4</w:t>
      </w:r>
      <w:r w:rsidRPr="00B54C41">
        <w:rPr>
          <w:rFonts w:asciiTheme="minorHAnsi" w:hAnsiTheme="minorHAnsi" w:cstheme="minorHAnsi"/>
          <w:b/>
          <w:bCs/>
          <w:szCs w:val="24"/>
          <w:vertAlign w:val="superscript"/>
        </w:rPr>
        <w:t>th</w:t>
      </w:r>
      <w:r w:rsidRPr="00B54C41">
        <w:rPr>
          <w:rFonts w:asciiTheme="minorHAnsi" w:hAnsiTheme="minorHAnsi" w:cstheme="minorHAnsi"/>
          <w:b/>
          <w:bCs/>
          <w:szCs w:val="24"/>
        </w:rPr>
        <w:t xml:space="preserve"> CP:</w:t>
      </w:r>
    </w:p>
    <w:p w:rsidR="00435BC3" w:rsidRPr="00B54C41" w:rsidRDefault="00435BC3" w:rsidP="00435BC3">
      <w:pPr>
        <w:pStyle w:val="ListParagraph"/>
        <w:tabs>
          <w:tab w:val="left" w:pos="270"/>
        </w:tabs>
        <w:ind w:left="270"/>
        <w:jc w:val="both"/>
        <w:rPr>
          <w:rFonts w:asciiTheme="minorHAnsi" w:hAnsiTheme="minorHAnsi" w:cstheme="minorHAnsi"/>
          <w:b/>
          <w:bCs/>
          <w:szCs w:val="24"/>
        </w:rPr>
      </w:pPr>
    </w:p>
    <w:p w:rsidR="00435BC3" w:rsidRPr="00B54C41" w:rsidRDefault="00435BC3" w:rsidP="00435BC3">
      <w:pPr>
        <w:pStyle w:val="ListParagraph"/>
        <w:numPr>
          <w:ilvl w:val="0"/>
          <w:numId w:val="16"/>
        </w:numPr>
        <w:jc w:val="both"/>
        <w:rPr>
          <w:rFonts w:asciiTheme="minorHAnsi" w:hAnsiTheme="minorHAnsi" w:cstheme="minorHAnsi"/>
          <w:szCs w:val="24"/>
        </w:rPr>
      </w:pPr>
      <w:r w:rsidRPr="00B54C41">
        <w:rPr>
          <w:rFonts w:asciiTheme="minorHAnsi" w:hAnsiTheme="minorHAnsi" w:cstheme="minorHAnsi"/>
          <w:szCs w:val="24"/>
        </w:rPr>
        <w:t>The expenditure done by TSSPDCL in 4</w:t>
      </w:r>
      <w:r w:rsidRPr="00B54C41">
        <w:rPr>
          <w:rFonts w:asciiTheme="minorHAnsi" w:hAnsiTheme="minorHAnsi" w:cstheme="minorHAnsi"/>
          <w:szCs w:val="24"/>
          <w:vertAlign w:val="superscript"/>
        </w:rPr>
        <w:t>th</w:t>
      </w:r>
      <w:r w:rsidRPr="00B54C41">
        <w:rPr>
          <w:rFonts w:asciiTheme="minorHAnsi" w:hAnsiTheme="minorHAnsi" w:cstheme="minorHAnsi"/>
          <w:szCs w:val="24"/>
        </w:rPr>
        <w:t xml:space="preserve"> CP reflects the network strengthening work done for extending 24 hours power supply to agricultural consumers as per the policy of the state govt.</w:t>
      </w:r>
    </w:p>
    <w:p w:rsidR="00435BC3" w:rsidRPr="00604281" w:rsidRDefault="00435BC3" w:rsidP="00435BC3">
      <w:pPr>
        <w:pStyle w:val="ListParagraph"/>
        <w:numPr>
          <w:ilvl w:val="0"/>
          <w:numId w:val="16"/>
        </w:numPr>
        <w:jc w:val="both"/>
        <w:rPr>
          <w:rFonts w:asciiTheme="minorHAnsi" w:hAnsiTheme="minorHAnsi" w:cstheme="minorHAnsi"/>
          <w:szCs w:val="24"/>
        </w:rPr>
      </w:pPr>
      <w:r w:rsidRPr="00B54C41">
        <w:rPr>
          <w:rFonts w:asciiTheme="minorHAnsi" w:hAnsiTheme="minorHAnsi" w:cstheme="minorHAnsi"/>
          <w:szCs w:val="24"/>
        </w:rPr>
        <w:t>There has been considerable reduction in AT&amp;</w:t>
      </w:r>
      <w:r w:rsidRPr="00604281">
        <w:rPr>
          <w:rFonts w:asciiTheme="minorHAnsi" w:hAnsiTheme="minorHAnsi" w:cstheme="minorHAnsi"/>
          <w:szCs w:val="24"/>
        </w:rPr>
        <w:t>C Loss of the DISCOM over the 4</w:t>
      </w:r>
      <w:r w:rsidRPr="00604281">
        <w:rPr>
          <w:rFonts w:asciiTheme="minorHAnsi" w:hAnsiTheme="minorHAnsi" w:cstheme="minorHAnsi"/>
          <w:szCs w:val="24"/>
          <w:vertAlign w:val="superscript"/>
        </w:rPr>
        <w:t>th</w:t>
      </w:r>
      <w:r w:rsidRPr="00604281">
        <w:rPr>
          <w:rFonts w:asciiTheme="minorHAnsi" w:hAnsiTheme="minorHAnsi" w:cstheme="minorHAnsi"/>
          <w:szCs w:val="24"/>
        </w:rPr>
        <w:t xml:space="preserve"> CP i.e., from 11.26% in FY 2019-20 to 10.60 % in FY 2021-22 with </w:t>
      </w:r>
      <w:r w:rsidR="00214287" w:rsidRPr="00604281">
        <w:rPr>
          <w:rFonts w:asciiTheme="minorHAnsi" w:hAnsiTheme="minorHAnsi" w:cstheme="minorHAnsi"/>
          <w:szCs w:val="24"/>
        </w:rPr>
        <w:t xml:space="preserve">substantial </w:t>
      </w:r>
      <w:r w:rsidRPr="00604281">
        <w:rPr>
          <w:rFonts w:asciiTheme="minorHAnsi" w:hAnsiTheme="minorHAnsi" w:cstheme="minorHAnsi"/>
          <w:szCs w:val="24"/>
        </w:rPr>
        <w:t>improvement in billing efficiency and collection efficiency.</w:t>
      </w:r>
    </w:p>
    <w:p w:rsidR="00435BC3" w:rsidRPr="00604281" w:rsidRDefault="00435BC3" w:rsidP="00435BC3">
      <w:pPr>
        <w:pStyle w:val="ListParagraph"/>
        <w:numPr>
          <w:ilvl w:val="0"/>
          <w:numId w:val="16"/>
        </w:numPr>
        <w:jc w:val="both"/>
        <w:rPr>
          <w:rFonts w:asciiTheme="minorHAnsi" w:hAnsiTheme="minorHAnsi" w:cstheme="minorHAnsi"/>
          <w:szCs w:val="24"/>
        </w:rPr>
      </w:pPr>
      <w:r w:rsidRPr="00604281">
        <w:rPr>
          <w:rFonts w:asciiTheme="minorHAnsi" w:hAnsiTheme="minorHAnsi" w:cstheme="minorHAnsi"/>
          <w:szCs w:val="24"/>
        </w:rPr>
        <w:t>The average hours of supply in rural and urban areas have improved and is at 23:5</w:t>
      </w:r>
      <w:r w:rsidR="00214287" w:rsidRPr="00604281">
        <w:rPr>
          <w:rFonts w:asciiTheme="minorHAnsi" w:hAnsiTheme="minorHAnsi" w:cstheme="minorHAnsi"/>
          <w:szCs w:val="24"/>
        </w:rPr>
        <w:t>8</w:t>
      </w:r>
      <w:r w:rsidRPr="00604281">
        <w:rPr>
          <w:rFonts w:asciiTheme="minorHAnsi" w:hAnsiTheme="minorHAnsi" w:cstheme="minorHAnsi"/>
          <w:szCs w:val="24"/>
        </w:rPr>
        <w:t xml:space="preserve"> Hrs. in FY 202</w:t>
      </w:r>
      <w:r w:rsidR="00214287" w:rsidRPr="00604281">
        <w:rPr>
          <w:rFonts w:asciiTheme="minorHAnsi" w:hAnsiTheme="minorHAnsi" w:cstheme="minorHAnsi"/>
          <w:szCs w:val="24"/>
        </w:rPr>
        <w:t>2-23</w:t>
      </w:r>
      <w:r w:rsidRPr="00604281">
        <w:rPr>
          <w:rFonts w:asciiTheme="minorHAnsi" w:hAnsiTheme="minorHAnsi" w:cstheme="minorHAnsi"/>
          <w:szCs w:val="24"/>
        </w:rPr>
        <w:t>.</w:t>
      </w:r>
    </w:p>
    <w:p w:rsidR="00435BC3" w:rsidRPr="00B54C41" w:rsidRDefault="00435BC3" w:rsidP="00435BC3">
      <w:pPr>
        <w:pStyle w:val="ListParagraph"/>
        <w:numPr>
          <w:ilvl w:val="0"/>
          <w:numId w:val="16"/>
        </w:numPr>
        <w:jc w:val="both"/>
        <w:rPr>
          <w:rFonts w:asciiTheme="minorHAnsi" w:hAnsiTheme="minorHAnsi" w:cstheme="minorHAnsi"/>
          <w:szCs w:val="24"/>
        </w:rPr>
      </w:pPr>
      <w:r w:rsidRPr="00604281">
        <w:rPr>
          <w:rFonts w:asciiTheme="minorHAnsi" w:hAnsiTheme="minorHAnsi" w:cstheme="minorHAnsi"/>
          <w:szCs w:val="24"/>
        </w:rPr>
        <w:t>Reliability Index like SAIFI has improved over the 4</w:t>
      </w:r>
      <w:r w:rsidRPr="00604281">
        <w:rPr>
          <w:rFonts w:asciiTheme="minorHAnsi" w:hAnsiTheme="minorHAnsi" w:cstheme="minorHAnsi"/>
          <w:szCs w:val="24"/>
          <w:vertAlign w:val="superscript"/>
        </w:rPr>
        <w:t>th</w:t>
      </w:r>
      <w:r w:rsidRPr="00604281">
        <w:rPr>
          <w:rFonts w:asciiTheme="minorHAnsi" w:hAnsiTheme="minorHAnsi" w:cstheme="minorHAnsi"/>
          <w:szCs w:val="24"/>
        </w:rPr>
        <w:t xml:space="preserve"> CP from</w:t>
      </w:r>
      <w:r w:rsidRPr="00B54C41">
        <w:rPr>
          <w:rFonts w:asciiTheme="minorHAnsi" w:hAnsiTheme="minorHAnsi" w:cstheme="minorHAnsi"/>
          <w:szCs w:val="24"/>
        </w:rPr>
        <w:t xml:space="preserve"> 79.99 in FY 2019-20 to 30.48 in FY 2022-23.</w:t>
      </w:r>
    </w:p>
    <w:p w:rsidR="00435BC3" w:rsidRPr="00B54C41" w:rsidRDefault="00435BC3" w:rsidP="00435BC3">
      <w:pPr>
        <w:pStyle w:val="ListParagraph"/>
        <w:numPr>
          <w:ilvl w:val="0"/>
          <w:numId w:val="16"/>
        </w:numPr>
        <w:jc w:val="both"/>
        <w:rPr>
          <w:rFonts w:asciiTheme="minorHAnsi" w:hAnsiTheme="minorHAnsi" w:cstheme="minorHAnsi"/>
          <w:szCs w:val="24"/>
        </w:rPr>
      </w:pPr>
      <w:r w:rsidRPr="00B54C41">
        <w:rPr>
          <w:rFonts w:asciiTheme="minorHAnsi" w:hAnsiTheme="minorHAnsi" w:cstheme="minorHAnsi"/>
          <w:szCs w:val="24"/>
        </w:rPr>
        <w:t>Further SAIDI has improved considerably from 1888.46 minutes in FY 2019-20 to 794.27 minutes- in FY 2022-23.</w:t>
      </w:r>
    </w:p>
    <w:p w:rsidR="00435BC3" w:rsidRPr="00B54C41" w:rsidRDefault="00435BC3" w:rsidP="00435BC3">
      <w:pPr>
        <w:pStyle w:val="ListParagraph"/>
        <w:numPr>
          <w:ilvl w:val="0"/>
          <w:numId w:val="16"/>
        </w:numPr>
        <w:jc w:val="both"/>
        <w:rPr>
          <w:rFonts w:asciiTheme="minorHAnsi" w:hAnsiTheme="minorHAnsi" w:cstheme="minorHAnsi"/>
          <w:szCs w:val="24"/>
        </w:rPr>
      </w:pPr>
      <w:r w:rsidRPr="00B54C41">
        <w:rPr>
          <w:rFonts w:asciiTheme="minorHAnsi" w:hAnsiTheme="minorHAnsi" w:cstheme="minorHAnsi"/>
          <w:szCs w:val="24"/>
        </w:rPr>
        <w:t xml:space="preserve">The Customer service has been digitized with 100% new connections being released through online system. The integration of necessary IT/OT systems has improved customer services to a great extent and facilitated DISCOM in extending its services </w:t>
      </w:r>
      <w:r w:rsidRPr="00B54C41">
        <w:rPr>
          <w:rFonts w:asciiTheme="minorHAnsi" w:hAnsiTheme="minorHAnsi" w:cstheme="minorHAnsi"/>
          <w:szCs w:val="24"/>
        </w:rPr>
        <w:lastRenderedPageBreak/>
        <w:t>digitally without manual intervention. Such technological intervention has allowed the DISCOM to reduce new connection application processing time to an average of 7 days in urban areas and 10 days in rural areas. Outage alerts are being sent to the consumers on regular basis and almost 100% consumer complaints are being registered through 24X7 customer Call center.</w:t>
      </w:r>
    </w:p>
    <w:p w:rsidR="00435BC3" w:rsidRPr="00B54C41" w:rsidRDefault="00435BC3" w:rsidP="00435BC3">
      <w:pPr>
        <w:pStyle w:val="ListParagraph"/>
        <w:numPr>
          <w:ilvl w:val="0"/>
          <w:numId w:val="16"/>
        </w:numPr>
        <w:jc w:val="both"/>
        <w:rPr>
          <w:rFonts w:asciiTheme="minorHAnsi" w:hAnsiTheme="minorHAnsi" w:cstheme="minorHAnsi"/>
          <w:szCs w:val="24"/>
        </w:rPr>
      </w:pPr>
      <w:r w:rsidRPr="00B54C41">
        <w:rPr>
          <w:rFonts w:asciiTheme="minorHAnsi" w:hAnsiTheme="minorHAnsi" w:cstheme="minorHAnsi"/>
          <w:szCs w:val="24"/>
        </w:rPr>
        <w:t>The DT failure rate has been maintained consistently below 8% in 4</w:t>
      </w:r>
      <w:r w:rsidRPr="00B54C41">
        <w:rPr>
          <w:rFonts w:asciiTheme="minorHAnsi" w:hAnsiTheme="minorHAnsi" w:cstheme="minorHAnsi"/>
          <w:szCs w:val="24"/>
          <w:vertAlign w:val="superscript"/>
        </w:rPr>
        <w:t>th</w:t>
      </w:r>
      <w:r w:rsidRPr="00B54C41">
        <w:rPr>
          <w:rFonts w:asciiTheme="minorHAnsi" w:hAnsiTheme="minorHAnsi" w:cstheme="minorHAnsi"/>
          <w:szCs w:val="24"/>
        </w:rPr>
        <w:t xml:space="preserve"> Control Period. </w:t>
      </w:r>
    </w:p>
    <w:p w:rsidR="00435BC3" w:rsidRPr="00B54C41" w:rsidRDefault="00435BC3" w:rsidP="00435BC3">
      <w:pPr>
        <w:pStyle w:val="ListParagraph"/>
        <w:numPr>
          <w:ilvl w:val="0"/>
          <w:numId w:val="16"/>
        </w:numPr>
        <w:jc w:val="both"/>
        <w:rPr>
          <w:rFonts w:asciiTheme="minorHAnsi" w:hAnsiTheme="minorHAnsi" w:cstheme="minorHAnsi"/>
          <w:szCs w:val="24"/>
        </w:rPr>
      </w:pPr>
      <w:r w:rsidRPr="00B54C41">
        <w:rPr>
          <w:rFonts w:asciiTheme="minorHAnsi" w:hAnsiTheme="minorHAnsi" w:cstheme="minorHAnsi"/>
          <w:szCs w:val="24"/>
        </w:rPr>
        <w:t>Average Hours of Supply has been maintained close to 24 hours in the 4</w:t>
      </w:r>
      <w:r w:rsidRPr="00B54C41">
        <w:rPr>
          <w:rFonts w:asciiTheme="minorHAnsi" w:hAnsiTheme="minorHAnsi" w:cstheme="minorHAnsi"/>
          <w:szCs w:val="24"/>
          <w:vertAlign w:val="superscript"/>
        </w:rPr>
        <w:t>th</w:t>
      </w:r>
      <w:r w:rsidRPr="00B54C41">
        <w:rPr>
          <w:rFonts w:asciiTheme="minorHAnsi" w:hAnsiTheme="minorHAnsi" w:cstheme="minorHAnsi"/>
          <w:szCs w:val="24"/>
        </w:rPr>
        <w:t xml:space="preserve"> CP.</w:t>
      </w:r>
    </w:p>
    <w:p w:rsidR="00435BC3" w:rsidRPr="00B54C41" w:rsidRDefault="00435BC3" w:rsidP="00435BC3">
      <w:pPr>
        <w:pStyle w:val="ListParagraph"/>
        <w:jc w:val="both"/>
        <w:rPr>
          <w:rFonts w:asciiTheme="minorHAnsi" w:hAnsiTheme="minorHAnsi" w:cstheme="minorHAnsi"/>
          <w:szCs w:val="24"/>
        </w:rPr>
      </w:pPr>
    </w:p>
    <w:p w:rsidR="00435BC3" w:rsidRPr="00B54C41" w:rsidRDefault="00435BC3" w:rsidP="00435BC3">
      <w:pPr>
        <w:pStyle w:val="ListParagraph"/>
        <w:numPr>
          <w:ilvl w:val="0"/>
          <w:numId w:val="17"/>
        </w:numPr>
        <w:tabs>
          <w:tab w:val="left" w:pos="270"/>
        </w:tabs>
        <w:ind w:left="270" w:hanging="270"/>
        <w:jc w:val="both"/>
        <w:rPr>
          <w:rFonts w:asciiTheme="minorHAnsi" w:hAnsiTheme="minorHAnsi" w:cstheme="minorHAnsi"/>
          <w:b/>
          <w:bCs/>
          <w:szCs w:val="24"/>
        </w:rPr>
      </w:pPr>
      <w:r w:rsidRPr="00B54C41">
        <w:rPr>
          <w:rFonts w:asciiTheme="minorHAnsi" w:hAnsiTheme="minorHAnsi" w:cstheme="minorHAnsi"/>
          <w:b/>
          <w:bCs/>
          <w:szCs w:val="24"/>
        </w:rPr>
        <w:t>AT &amp; C Loss:</w:t>
      </w:r>
    </w:p>
    <w:p w:rsidR="00435BC3" w:rsidRPr="00B54C41" w:rsidRDefault="00435BC3" w:rsidP="00435BC3">
      <w:pPr>
        <w:pStyle w:val="ListParagraph"/>
        <w:tabs>
          <w:tab w:val="left" w:pos="270"/>
        </w:tabs>
        <w:ind w:left="270"/>
        <w:jc w:val="both"/>
        <w:rPr>
          <w:rFonts w:asciiTheme="minorHAnsi" w:hAnsiTheme="minorHAnsi" w:cstheme="minorHAnsi"/>
          <w:b/>
          <w:bCs/>
          <w:szCs w:val="24"/>
        </w:rPr>
      </w:pPr>
    </w:p>
    <w:p w:rsidR="00435BC3" w:rsidRPr="00B54C41" w:rsidRDefault="00435BC3" w:rsidP="00435BC3">
      <w:pPr>
        <w:pStyle w:val="ListParagraph"/>
        <w:tabs>
          <w:tab w:val="left" w:pos="270"/>
        </w:tabs>
        <w:ind w:left="270"/>
        <w:jc w:val="both"/>
        <w:rPr>
          <w:rFonts w:asciiTheme="minorHAnsi" w:hAnsiTheme="minorHAnsi" w:cstheme="minorHAnsi"/>
          <w:b/>
          <w:bCs/>
          <w:szCs w:val="24"/>
        </w:rPr>
      </w:pPr>
      <w:r w:rsidRPr="00B54C41">
        <w:rPr>
          <w:rFonts w:asciiTheme="minorHAnsi" w:hAnsiTheme="minorHAnsi" w:cstheme="minorHAnsi"/>
          <w:noProof/>
          <w:szCs w:val="24"/>
        </w:rPr>
        <w:drawing>
          <wp:inline distT="0" distB="0" distL="0" distR="0">
            <wp:extent cx="5776595" cy="3294743"/>
            <wp:effectExtent l="0" t="0" r="14605" b="1270"/>
            <wp:docPr id="1" name="Chart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DE546F0F-B7D1-403C-979C-DE7EB79C678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35BC3" w:rsidRPr="00B54C41" w:rsidRDefault="00435BC3" w:rsidP="00435BC3">
      <w:pPr>
        <w:pStyle w:val="ListParagraph"/>
        <w:tabs>
          <w:tab w:val="left" w:pos="270"/>
        </w:tabs>
        <w:ind w:left="270"/>
        <w:jc w:val="both"/>
        <w:rPr>
          <w:rFonts w:asciiTheme="minorHAnsi" w:hAnsiTheme="minorHAnsi" w:cstheme="minorHAnsi"/>
          <w:szCs w:val="24"/>
        </w:rPr>
      </w:pPr>
      <w:r w:rsidRPr="00B54C41">
        <w:rPr>
          <w:rFonts w:asciiTheme="minorHAnsi" w:hAnsiTheme="minorHAnsi" w:cstheme="minorHAnsi"/>
          <w:szCs w:val="24"/>
        </w:rPr>
        <w:t>High AT&amp;C Loss in FY 2022-23 is due to low collection efficiency on account of Govt. receivables.</w:t>
      </w:r>
    </w:p>
    <w:p w:rsidR="00435BC3" w:rsidRPr="00B54C41" w:rsidRDefault="00435BC3" w:rsidP="00435BC3">
      <w:pPr>
        <w:pStyle w:val="ListParagraph"/>
        <w:tabs>
          <w:tab w:val="left" w:pos="270"/>
        </w:tabs>
        <w:ind w:left="270"/>
        <w:jc w:val="both"/>
        <w:rPr>
          <w:rFonts w:asciiTheme="minorHAnsi" w:hAnsiTheme="minorHAnsi" w:cstheme="minorHAnsi"/>
          <w:szCs w:val="24"/>
        </w:rPr>
      </w:pPr>
    </w:p>
    <w:p w:rsidR="00435BC3" w:rsidRPr="00B54C41" w:rsidRDefault="00435BC3" w:rsidP="00435BC3">
      <w:pPr>
        <w:pStyle w:val="ListParagraph"/>
        <w:tabs>
          <w:tab w:val="left" w:pos="270"/>
        </w:tabs>
        <w:ind w:left="270"/>
        <w:jc w:val="both"/>
        <w:rPr>
          <w:rFonts w:asciiTheme="minorHAnsi" w:hAnsiTheme="minorHAnsi" w:cstheme="minorHAnsi"/>
          <w:szCs w:val="24"/>
        </w:rPr>
      </w:pPr>
    </w:p>
    <w:p w:rsidR="00435BC3" w:rsidRPr="00B54C41" w:rsidRDefault="00435BC3" w:rsidP="00435BC3">
      <w:pPr>
        <w:pStyle w:val="ListParagraph"/>
        <w:numPr>
          <w:ilvl w:val="0"/>
          <w:numId w:val="17"/>
        </w:numPr>
        <w:tabs>
          <w:tab w:val="left" w:pos="270"/>
        </w:tabs>
        <w:ind w:left="270" w:hanging="270"/>
        <w:jc w:val="both"/>
        <w:rPr>
          <w:rFonts w:asciiTheme="minorHAnsi" w:hAnsiTheme="minorHAnsi" w:cstheme="minorHAnsi"/>
          <w:b/>
          <w:bCs/>
          <w:szCs w:val="24"/>
        </w:rPr>
      </w:pPr>
      <w:r w:rsidRPr="00B54C41">
        <w:rPr>
          <w:rFonts w:asciiTheme="minorHAnsi" w:hAnsiTheme="minorHAnsi" w:cstheme="minorHAnsi"/>
          <w:b/>
          <w:bCs/>
          <w:szCs w:val="24"/>
        </w:rPr>
        <w:t>T&amp;D Loss:</w:t>
      </w:r>
    </w:p>
    <w:p w:rsidR="00435BC3" w:rsidRPr="00B54C41" w:rsidRDefault="00435BC3" w:rsidP="00435BC3">
      <w:pPr>
        <w:pStyle w:val="ListParagraph"/>
        <w:tabs>
          <w:tab w:val="left" w:pos="270"/>
        </w:tabs>
        <w:ind w:left="270"/>
        <w:jc w:val="both"/>
        <w:rPr>
          <w:rFonts w:asciiTheme="minorHAnsi" w:hAnsiTheme="minorHAnsi" w:cstheme="minorHAnsi"/>
          <w:b/>
          <w:bCs/>
          <w:szCs w:val="24"/>
        </w:rPr>
      </w:pPr>
    </w:p>
    <w:p w:rsidR="00435BC3" w:rsidRPr="00B54C41" w:rsidRDefault="00435BC3" w:rsidP="00604281">
      <w:pPr>
        <w:pStyle w:val="ListParagraph"/>
        <w:tabs>
          <w:tab w:val="left" w:pos="270"/>
        </w:tabs>
        <w:ind w:left="270"/>
        <w:jc w:val="center"/>
        <w:rPr>
          <w:rFonts w:asciiTheme="minorHAnsi" w:hAnsiTheme="minorHAnsi" w:cstheme="minorHAnsi"/>
          <w:b/>
          <w:bCs/>
          <w:szCs w:val="24"/>
        </w:rPr>
      </w:pPr>
      <w:r w:rsidRPr="00B54C41">
        <w:rPr>
          <w:rFonts w:asciiTheme="minorHAnsi" w:hAnsiTheme="minorHAnsi" w:cstheme="minorHAnsi"/>
          <w:noProof/>
          <w:szCs w:val="24"/>
        </w:rPr>
        <w:lastRenderedPageBreak/>
        <w:drawing>
          <wp:inline distT="0" distB="0" distL="0" distR="0">
            <wp:extent cx="5638800" cy="3178629"/>
            <wp:effectExtent l="0" t="0" r="0" b="3175"/>
            <wp:docPr id="9" name="Chart 9">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9137BC27-80F2-449E-AD61-887339BB2A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35BC3" w:rsidRPr="00054A5A" w:rsidRDefault="00435BC3" w:rsidP="00435BC3">
      <w:pPr>
        <w:pStyle w:val="ListParagraph"/>
        <w:tabs>
          <w:tab w:val="left" w:pos="270"/>
        </w:tabs>
        <w:ind w:left="270"/>
        <w:jc w:val="both"/>
        <w:rPr>
          <w:rFonts w:asciiTheme="minorHAnsi" w:hAnsiTheme="minorHAnsi" w:cstheme="minorHAnsi"/>
          <w:sz w:val="16"/>
          <w:szCs w:val="16"/>
        </w:rPr>
      </w:pPr>
      <w:r w:rsidRPr="00054A5A">
        <w:rPr>
          <w:rFonts w:asciiTheme="minorHAnsi" w:hAnsiTheme="minorHAnsi" w:cstheme="minorHAnsi"/>
          <w:sz w:val="16"/>
          <w:szCs w:val="16"/>
        </w:rPr>
        <w:t>FY 2022-23 figure is estimated.</w:t>
      </w:r>
    </w:p>
    <w:p w:rsidR="00435BC3" w:rsidRPr="00B54C41" w:rsidRDefault="00435BC3" w:rsidP="00435BC3">
      <w:pPr>
        <w:pStyle w:val="ListParagraph"/>
        <w:tabs>
          <w:tab w:val="left" w:pos="270"/>
        </w:tabs>
        <w:ind w:left="270"/>
        <w:jc w:val="both"/>
        <w:rPr>
          <w:rFonts w:asciiTheme="minorHAnsi" w:hAnsiTheme="minorHAnsi" w:cstheme="minorHAnsi"/>
          <w:szCs w:val="24"/>
        </w:rPr>
      </w:pPr>
    </w:p>
    <w:p w:rsidR="00435BC3" w:rsidRPr="00B54C41" w:rsidRDefault="00435BC3" w:rsidP="00435BC3">
      <w:pPr>
        <w:pStyle w:val="ListParagraph"/>
        <w:numPr>
          <w:ilvl w:val="0"/>
          <w:numId w:val="17"/>
        </w:numPr>
        <w:tabs>
          <w:tab w:val="left" w:pos="270"/>
        </w:tabs>
        <w:ind w:left="270" w:hanging="270"/>
        <w:jc w:val="both"/>
        <w:rPr>
          <w:rFonts w:asciiTheme="minorHAnsi" w:hAnsiTheme="minorHAnsi" w:cstheme="minorHAnsi"/>
          <w:b/>
          <w:bCs/>
          <w:szCs w:val="24"/>
        </w:rPr>
      </w:pPr>
      <w:r w:rsidRPr="00B54C41">
        <w:rPr>
          <w:rFonts w:asciiTheme="minorHAnsi" w:hAnsiTheme="minorHAnsi" w:cstheme="minorHAnsi"/>
          <w:b/>
          <w:bCs/>
          <w:szCs w:val="24"/>
        </w:rPr>
        <w:t>SAIFI &amp; SAIDI:</w:t>
      </w:r>
    </w:p>
    <w:p w:rsidR="00435BC3" w:rsidRPr="00B54C41" w:rsidRDefault="00435BC3" w:rsidP="00604281">
      <w:pPr>
        <w:tabs>
          <w:tab w:val="left" w:pos="270"/>
        </w:tabs>
        <w:jc w:val="center"/>
        <w:rPr>
          <w:rFonts w:asciiTheme="minorHAnsi" w:hAnsiTheme="minorHAnsi" w:cstheme="minorHAnsi"/>
          <w:b/>
          <w:bCs/>
          <w:szCs w:val="24"/>
        </w:rPr>
      </w:pPr>
      <w:r w:rsidRPr="00B54C41">
        <w:rPr>
          <w:rFonts w:asciiTheme="minorHAnsi" w:hAnsiTheme="minorHAnsi" w:cstheme="minorHAnsi"/>
          <w:noProof/>
          <w:szCs w:val="24"/>
        </w:rPr>
        <w:drawing>
          <wp:inline distT="0" distB="0" distL="0" distR="0">
            <wp:extent cx="5921375" cy="3606800"/>
            <wp:effectExtent l="0" t="0" r="3175" b="12700"/>
            <wp:docPr id="3" name="Chart 3">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8CA7F54B-F393-45F9-9A89-11A5CCF160A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35BC3" w:rsidRPr="00B54C41" w:rsidRDefault="00435BC3" w:rsidP="00435BC3">
      <w:pPr>
        <w:tabs>
          <w:tab w:val="left" w:pos="270"/>
        </w:tabs>
        <w:jc w:val="both"/>
        <w:rPr>
          <w:rFonts w:asciiTheme="minorHAnsi" w:hAnsiTheme="minorHAnsi" w:cstheme="minorHAnsi"/>
          <w:b/>
          <w:bCs/>
          <w:szCs w:val="24"/>
        </w:rPr>
      </w:pPr>
    </w:p>
    <w:p w:rsidR="00435BC3" w:rsidRPr="00B54C41" w:rsidRDefault="00435BC3" w:rsidP="00604281">
      <w:pPr>
        <w:tabs>
          <w:tab w:val="left" w:pos="270"/>
        </w:tabs>
        <w:jc w:val="center"/>
        <w:rPr>
          <w:rFonts w:asciiTheme="minorHAnsi" w:hAnsiTheme="minorHAnsi" w:cstheme="minorHAnsi"/>
          <w:b/>
          <w:bCs/>
          <w:szCs w:val="24"/>
        </w:rPr>
      </w:pPr>
      <w:r w:rsidRPr="00B54C41">
        <w:rPr>
          <w:rFonts w:asciiTheme="minorHAnsi" w:hAnsiTheme="minorHAnsi" w:cstheme="minorHAnsi"/>
          <w:noProof/>
          <w:szCs w:val="24"/>
        </w:rPr>
        <w:lastRenderedPageBreak/>
        <w:drawing>
          <wp:inline distT="0" distB="0" distL="0" distR="0">
            <wp:extent cx="5862955" cy="3548742"/>
            <wp:effectExtent l="0" t="0" r="4445" b="13970"/>
            <wp:docPr id="7" name="Chart 7">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92E5E56C-52D6-44A3-8F07-21BB4DC958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35BC3" w:rsidRPr="00B54C41" w:rsidRDefault="00435BC3" w:rsidP="00435BC3">
      <w:pPr>
        <w:tabs>
          <w:tab w:val="left" w:pos="270"/>
        </w:tabs>
        <w:jc w:val="both"/>
        <w:rPr>
          <w:rFonts w:asciiTheme="minorHAnsi" w:hAnsiTheme="minorHAnsi" w:cstheme="minorHAnsi"/>
          <w:b/>
          <w:bCs/>
          <w:szCs w:val="24"/>
        </w:rPr>
      </w:pPr>
    </w:p>
    <w:p w:rsidR="00435BC3" w:rsidRPr="00B54C41" w:rsidRDefault="00435BC3" w:rsidP="00435BC3">
      <w:pPr>
        <w:pStyle w:val="ListParagraph"/>
        <w:numPr>
          <w:ilvl w:val="0"/>
          <w:numId w:val="17"/>
        </w:numPr>
        <w:ind w:left="270"/>
        <w:jc w:val="both"/>
        <w:rPr>
          <w:rFonts w:asciiTheme="minorHAnsi" w:hAnsiTheme="minorHAnsi" w:cstheme="minorHAnsi"/>
          <w:b/>
          <w:bCs/>
          <w:szCs w:val="24"/>
        </w:rPr>
      </w:pPr>
      <w:r w:rsidRPr="00B54C41">
        <w:rPr>
          <w:rFonts w:asciiTheme="minorHAnsi" w:hAnsiTheme="minorHAnsi" w:cstheme="minorHAnsi"/>
          <w:b/>
          <w:bCs/>
          <w:szCs w:val="24"/>
        </w:rPr>
        <w:t>DTR Failure Rate:</w:t>
      </w:r>
    </w:p>
    <w:p w:rsidR="00435BC3" w:rsidRPr="00B54C41" w:rsidRDefault="00435BC3" w:rsidP="00435BC3">
      <w:pPr>
        <w:pStyle w:val="ListParagraph"/>
        <w:ind w:left="270"/>
        <w:jc w:val="both"/>
        <w:rPr>
          <w:rFonts w:asciiTheme="minorHAnsi" w:hAnsiTheme="minorHAnsi" w:cstheme="minorHAnsi"/>
          <w:b/>
          <w:bCs/>
          <w:szCs w:val="24"/>
        </w:rPr>
      </w:pPr>
    </w:p>
    <w:p w:rsidR="00435BC3" w:rsidRPr="00B54C41" w:rsidRDefault="00435BC3" w:rsidP="00604281">
      <w:pPr>
        <w:pStyle w:val="ListParagraph"/>
        <w:ind w:left="270"/>
        <w:jc w:val="center"/>
        <w:rPr>
          <w:rFonts w:asciiTheme="minorHAnsi" w:hAnsiTheme="minorHAnsi" w:cstheme="minorHAnsi"/>
          <w:b/>
          <w:bCs/>
          <w:szCs w:val="24"/>
        </w:rPr>
      </w:pPr>
      <w:r w:rsidRPr="00B54C41">
        <w:rPr>
          <w:rFonts w:asciiTheme="minorHAnsi" w:hAnsiTheme="minorHAnsi" w:cstheme="minorHAnsi"/>
          <w:noProof/>
          <w:szCs w:val="24"/>
        </w:rPr>
        <w:drawing>
          <wp:inline distT="0" distB="0" distL="0" distR="0">
            <wp:extent cx="5652770" cy="3425372"/>
            <wp:effectExtent l="0" t="0" r="5080" b="3810"/>
            <wp:docPr id="5" name="Chart 5">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F0E64482-8D09-4ADD-8C49-AA6450AA594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35BC3" w:rsidRPr="00B54C41" w:rsidRDefault="00435BC3" w:rsidP="00435BC3">
      <w:pPr>
        <w:pStyle w:val="ListParagraph"/>
        <w:ind w:left="270"/>
        <w:jc w:val="both"/>
        <w:rPr>
          <w:rFonts w:asciiTheme="minorHAnsi" w:hAnsiTheme="minorHAnsi" w:cstheme="minorHAnsi"/>
          <w:b/>
          <w:bCs/>
          <w:szCs w:val="24"/>
        </w:rPr>
      </w:pPr>
    </w:p>
    <w:p w:rsidR="00435BC3" w:rsidRPr="00B54C41" w:rsidRDefault="00435BC3" w:rsidP="00435BC3">
      <w:pPr>
        <w:pStyle w:val="ListParagraph"/>
        <w:ind w:left="270"/>
        <w:jc w:val="both"/>
        <w:rPr>
          <w:rFonts w:asciiTheme="minorHAnsi" w:hAnsiTheme="minorHAnsi" w:cstheme="minorHAnsi"/>
          <w:b/>
          <w:bCs/>
          <w:szCs w:val="24"/>
        </w:rPr>
      </w:pPr>
    </w:p>
    <w:p w:rsidR="00435BC3" w:rsidRPr="00B54C41" w:rsidRDefault="00435BC3" w:rsidP="00435BC3">
      <w:pPr>
        <w:pStyle w:val="ListParagraph"/>
        <w:numPr>
          <w:ilvl w:val="0"/>
          <w:numId w:val="17"/>
        </w:numPr>
        <w:jc w:val="both"/>
        <w:rPr>
          <w:rFonts w:asciiTheme="minorHAnsi" w:hAnsiTheme="minorHAnsi" w:cstheme="minorHAnsi"/>
          <w:b/>
          <w:bCs/>
          <w:szCs w:val="24"/>
        </w:rPr>
      </w:pPr>
      <w:r w:rsidRPr="00B54C41">
        <w:rPr>
          <w:rFonts w:asciiTheme="minorHAnsi" w:hAnsiTheme="minorHAnsi" w:cstheme="minorHAnsi"/>
          <w:b/>
          <w:bCs/>
          <w:szCs w:val="24"/>
        </w:rPr>
        <w:lastRenderedPageBreak/>
        <w:t>Average Hours of Supply:</w:t>
      </w:r>
    </w:p>
    <w:p w:rsidR="00435BC3" w:rsidRPr="00B54C41" w:rsidRDefault="00435BC3" w:rsidP="00435BC3">
      <w:pPr>
        <w:pStyle w:val="ListParagraph"/>
        <w:jc w:val="both"/>
        <w:rPr>
          <w:rFonts w:asciiTheme="minorHAnsi" w:hAnsiTheme="minorHAnsi" w:cstheme="minorHAnsi"/>
          <w:b/>
          <w:bCs/>
          <w:szCs w:val="24"/>
        </w:rPr>
      </w:pPr>
    </w:p>
    <w:p w:rsidR="00435BC3" w:rsidRPr="00B54C41" w:rsidRDefault="00435BC3" w:rsidP="00214287">
      <w:pPr>
        <w:pStyle w:val="ListParagraph"/>
        <w:jc w:val="center"/>
        <w:rPr>
          <w:rFonts w:asciiTheme="minorHAnsi" w:hAnsiTheme="minorHAnsi" w:cstheme="minorHAnsi"/>
          <w:b/>
          <w:bCs/>
          <w:szCs w:val="24"/>
        </w:rPr>
      </w:pPr>
      <w:r w:rsidRPr="00B54C41">
        <w:rPr>
          <w:rFonts w:asciiTheme="minorHAnsi" w:hAnsiTheme="minorHAnsi" w:cstheme="minorHAnsi"/>
          <w:noProof/>
          <w:szCs w:val="24"/>
        </w:rPr>
        <w:drawing>
          <wp:inline distT="0" distB="0" distL="0" distR="0">
            <wp:extent cx="5311775" cy="3432629"/>
            <wp:effectExtent l="0" t="0" r="3175" b="15875"/>
            <wp:docPr id="10" name="Chart 10">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7548EC18-D3B8-4018-A042-D0C1F30DC0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56ECD" w:rsidRPr="00435BC3" w:rsidRDefault="00456ECD" w:rsidP="00565750">
      <w:pPr>
        <w:jc w:val="both"/>
        <w:rPr>
          <w:rFonts w:asciiTheme="minorHAnsi" w:hAnsiTheme="minorHAnsi" w:cstheme="minorHAnsi"/>
        </w:rPr>
      </w:pPr>
    </w:p>
    <w:p w:rsidR="00FF3E89" w:rsidRDefault="00FF3E89" w:rsidP="00DD5EB8">
      <w:pPr>
        <w:jc w:val="both"/>
        <w:rPr>
          <w:rFonts w:asciiTheme="minorHAnsi" w:hAnsiTheme="minorHAnsi" w:cstheme="minorHAnsi"/>
        </w:rPr>
      </w:pPr>
    </w:p>
    <w:p w:rsidR="00435BC3" w:rsidRDefault="00435BC3" w:rsidP="00DD5EB8">
      <w:pPr>
        <w:jc w:val="both"/>
        <w:rPr>
          <w:rFonts w:asciiTheme="minorHAnsi" w:hAnsiTheme="minorHAnsi" w:cstheme="minorHAnsi"/>
        </w:rPr>
      </w:pPr>
    </w:p>
    <w:p w:rsidR="00435BC3" w:rsidRDefault="00435BC3" w:rsidP="00DD5EB8">
      <w:pPr>
        <w:jc w:val="both"/>
        <w:rPr>
          <w:rFonts w:asciiTheme="minorHAnsi" w:hAnsiTheme="minorHAnsi" w:cstheme="minorHAnsi"/>
        </w:rPr>
      </w:pPr>
    </w:p>
    <w:p w:rsidR="00435BC3" w:rsidRDefault="00435BC3" w:rsidP="00DD5EB8">
      <w:pPr>
        <w:jc w:val="both"/>
        <w:rPr>
          <w:rFonts w:asciiTheme="minorHAnsi" w:hAnsiTheme="minorHAnsi" w:cstheme="minorHAnsi"/>
        </w:rPr>
      </w:pPr>
    </w:p>
    <w:p w:rsidR="00435BC3" w:rsidRDefault="00435BC3" w:rsidP="00DD5EB8">
      <w:pPr>
        <w:jc w:val="both"/>
        <w:rPr>
          <w:rFonts w:asciiTheme="minorHAnsi" w:hAnsiTheme="minorHAnsi" w:cstheme="minorHAnsi"/>
        </w:rPr>
      </w:pPr>
    </w:p>
    <w:p w:rsidR="00435BC3" w:rsidRDefault="00435BC3" w:rsidP="00DD5EB8">
      <w:pPr>
        <w:jc w:val="both"/>
        <w:rPr>
          <w:rFonts w:asciiTheme="minorHAnsi" w:hAnsiTheme="minorHAnsi" w:cstheme="minorHAnsi"/>
        </w:rPr>
      </w:pPr>
    </w:p>
    <w:p w:rsidR="00435BC3" w:rsidRDefault="00435BC3" w:rsidP="00DD5EB8">
      <w:pPr>
        <w:jc w:val="both"/>
        <w:rPr>
          <w:rFonts w:asciiTheme="minorHAnsi" w:hAnsiTheme="minorHAnsi" w:cstheme="minorHAnsi"/>
        </w:rPr>
      </w:pPr>
    </w:p>
    <w:p w:rsidR="00435BC3" w:rsidRDefault="00435BC3" w:rsidP="00DD5EB8">
      <w:pPr>
        <w:jc w:val="both"/>
        <w:rPr>
          <w:rFonts w:asciiTheme="minorHAnsi" w:hAnsiTheme="minorHAnsi" w:cstheme="minorHAnsi"/>
        </w:rPr>
      </w:pPr>
    </w:p>
    <w:p w:rsidR="00435BC3" w:rsidRDefault="00435BC3" w:rsidP="00DD5EB8">
      <w:pPr>
        <w:jc w:val="both"/>
        <w:rPr>
          <w:rFonts w:asciiTheme="minorHAnsi" w:hAnsiTheme="minorHAnsi" w:cstheme="minorHAnsi"/>
        </w:rPr>
      </w:pPr>
    </w:p>
    <w:p w:rsidR="00435BC3" w:rsidRDefault="00435BC3" w:rsidP="00DD5EB8">
      <w:pPr>
        <w:jc w:val="both"/>
        <w:rPr>
          <w:rFonts w:asciiTheme="minorHAnsi" w:hAnsiTheme="minorHAnsi" w:cstheme="minorHAnsi"/>
        </w:rPr>
      </w:pPr>
    </w:p>
    <w:p w:rsidR="00435BC3" w:rsidRDefault="00435BC3" w:rsidP="00DD5EB8">
      <w:pPr>
        <w:jc w:val="both"/>
        <w:rPr>
          <w:rFonts w:asciiTheme="minorHAnsi" w:hAnsiTheme="minorHAnsi" w:cstheme="minorHAnsi"/>
        </w:rPr>
      </w:pPr>
    </w:p>
    <w:p w:rsidR="00435BC3" w:rsidRDefault="00435BC3" w:rsidP="00DD5EB8">
      <w:pPr>
        <w:jc w:val="both"/>
        <w:rPr>
          <w:rFonts w:asciiTheme="minorHAnsi" w:hAnsiTheme="minorHAnsi" w:cstheme="minorHAnsi"/>
        </w:rPr>
      </w:pPr>
    </w:p>
    <w:p w:rsidR="00435BC3" w:rsidRDefault="00435BC3" w:rsidP="00DD5EB8">
      <w:pPr>
        <w:jc w:val="both"/>
        <w:rPr>
          <w:rFonts w:asciiTheme="minorHAnsi" w:hAnsiTheme="minorHAnsi" w:cstheme="minorHAnsi"/>
        </w:rPr>
      </w:pPr>
    </w:p>
    <w:p w:rsidR="00DD71EF" w:rsidRPr="00435BC3" w:rsidRDefault="00DD71EF" w:rsidP="00DD71EF">
      <w:pPr>
        <w:ind w:left="720" w:hanging="360"/>
        <w:jc w:val="both"/>
        <w:rPr>
          <w:rFonts w:asciiTheme="minorHAnsi" w:hAnsiTheme="minorHAnsi" w:cstheme="minorHAnsi"/>
          <w:sz w:val="28"/>
          <w:szCs w:val="24"/>
          <w:u w:val="single"/>
        </w:rPr>
      </w:pPr>
      <w:r w:rsidRPr="00435BC3">
        <w:rPr>
          <w:rFonts w:asciiTheme="minorHAnsi" w:hAnsiTheme="minorHAnsi" w:cstheme="minorHAnsi"/>
          <w:sz w:val="28"/>
          <w:szCs w:val="24"/>
          <w:u w:val="single"/>
        </w:rPr>
        <w:lastRenderedPageBreak/>
        <w:t>Capex Plan: Analysis of 4th Control Period for TSNPDCL</w:t>
      </w:r>
    </w:p>
    <w:p w:rsidR="00DD71EF" w:rsidRPr="009A3C4C" w:rsidRDefault="00DD71EF" w:rsidP="00DD71EF">
      <w:pPr>
        <w:pStyle w:val="ListParagraph"/>
        <w:numPr>
          <w:ilvl w:val="0"/>
          <w:numId w:val="19"/>
        </w:numPr>
        <w:tabs>
          <w:tab w:val="left" w:pos="270"/>
        </w:tabs>
        <w:jc w:val="both"/>
        <w:rPr>
          <w:rFonts w:asciiTheme="minorHAnsi" w:hAnsiTheme="minorHAnsi" w:cstheme="minorHAnsi"/>
          <w:szCs w:val="24"/>
        </w:rPr>
      </w:pPr>
      <w:r w:rsidRPr="009A3C4C">
        <w:rPr>
          <w:rFonts w:asciiTheme="minorHAnsi" w:hAnsiTheme="minorHAnsi" w:cstheme="minorHAnsi"/>
          <w:b/>
          <w:bCs/>
          <w:szCs w:val="24"/>
        </w:rPr>
        <w:t>Need for Capex Requirement:</w:t>
      </w:r>
      <w:r w:rsidRPr="009A3C4C">
        <w:rPr>
          <w:rFonts w:asciiTheme="minorHAnsi" w:hAnsiTheme="minorHAnsi" w:cstheme="minorHAnsi"/>
          <w:szCs w:val="24"/>
        </w:rPr>
        <w:t xml:space="preserve"> Capital investment is required to improve Power supply reliability, reduce the AT&amp;C losses, ensure the safety and security of network, make the network adequate to cater the load growth and implementation of the technology to bring process efficiency in the operations.</w:t>
      </w:r>
    </w:p>
    <w:p w:rsidR="00DD71EF" w:rsidRPr="009A3C4C" w:rsidRDefault="00DD71EF" w:rsidP="00DD71EF">
      <w:pPr>
        <w:pStyle w:val="ListParagraph"/>
        <w:tabs>
          <w:tab w:val="left" w:pos="270"/>
        </w:tabs>
        <w:ind w:hanging="90"/>
        <w:jc w:val="both"/>
        <w:rPr>
          <w:rFonts w:asciiTheme="minorHAnsi" w:hAnsiTheme="minorHAnsi" w:cstheme="minorHAnsi"/>
          <w:szCs w:val="24"/>
        </w:rPr>
      </w:pPr>
      <w:r>
        <w:rPr>
          <w:rFonts w:asciiTheme="minorHAnsi" w:hAnsiTheme="minorHAnsi" w:cstheme="minorHAnsi"/>
          <w:szCs w:val="24"/>
        </w:rPr>
        <w:tab/>
      </w:r>
      <w:r w:rsidRPr="009A3C4C">
        <w:rPr>
          <w:rFonts w:asciiTheme="minorHAnsi" w:hAnsiTheme="minorHAnsi" w:cstheme="minorHAnsi"/>
          <w:szCs w:val="24"/>
        </w:rPr>
        <w:t>Further TSNPDCL has been framing its Capex requirement which is broadly based on the following:</w:t>
      </w:r>
    </w:p>
    <w:p w:rsidR="00DD71EF" w:rsidRPr="009A3C4C" w:rsidRDefault="00DD71EF" w:rsidP="00DD71EF">
      <w:pPr>
        <w:pStyle w:val="ListParagraph"/>
        <w:numPr>
          <w:ilvl w:val="0"/>
          <w:numId w:val="20"/>
        </w:numPr>
        <w:tabs>
          <w:tab w:val="left" w:pos="270"/>
        </w:tabs>
        <w:jc w:val="both"/>
        <w:rPr>
          <w:rFonts w:asciiTheme="minorHAnsi" w:hAnsiTheme="minorHAnsi" w:cstheme="minorHAnsi"/>
          <w:szCs w:val="24"/>
        </w:rPr>
      </w:pPr>
      <w:r w:rsidRPr="009A3C4C">
        <w:rPr>
          <w:rFonts w:asciiTheme="minorHAnsi" w:hAnsiTheme="minorHAnsi" w:cstheme="minorHAnsi"/>
          <w:b/>
          <w:bCs/>
          <w:szCs w:val="24"/>
        </w:rPr>
        <w:t>Statutory &amp; Safety</w:t>
      </w:r>
      <w:r w:rsidRPr="009A3C4C">
        <w:rPr>
          <w:rFonts w:asciiTheme="minorHAnsi" w:hAnsiTheme="minorHAnsi" w:cstheme="minorHAnsi"/>
          <w:szCs w:val="24"/>
        </w:rPr>
        <w:t>: Investment required for addressing unsafe conditions and making the network statutory compliant. This covers Refurbishment jobs, set up of safety culture through PPEs and testing equipment.</w:t>
      </w:r>
    </w:p>
    <w:p w:rsidR="00DD71EF" w:rsidRPr="009A3C4C" w:rsidRDefault="00DD71EF" w:rsidP="00DD71EF">
      <w:pPr>
        <w:pStyle w:val="ListParagraph"/>
        <w:numPr>
          <w:ilvl w:val="0"/>
          <w:numId w:val="20"/>
        </w:numPr>
        <w:tabs>
          <w:tab w:val="left" w:pos="270"/>
        </w:tabs>
        <w:jc w:val="both"/>
        <w:rPr>
          <w:rFonts w:asciiTheme="minorHAnsi" w:hAnsiTheme="minorHAnsi" w:cstheme="minorHAnsi"/>
          <w:szCs w:val="24"/>
        </w:rPr>
      </w:pPr>
      <w:r w:rsidRPr="009A3C4C">
        <w:rPr>
          <w:rFonts w:asciiTheme="minorHAnsi" w:hAnsiTheme="minorHAnsi" w:cstheme="minorHAnsi"/>
          <w:b/>
          <w:bCs/>
          <w:szCs w:val="24"/>
        </w:rPr>
        <w:t>Loss Reduction</w:t>
      </w:r>
      <w:r w:rsidRPr="009A3C4C">
        <w:rPr>
          <w:rFonts w:asciiTheme="minorHAnsi" w:hAnsiTheme="minorHAnsi" w:cstheme="minorHAnsi"/>
          <w:szCs w:val="24"/>
        </w:rPr>
        <w:t>: Investment required for taking initiatives to improve Billing or collection efficiency or reducing the technical Losses in the network. This includes Energy auditing, LT Bare to AB Cable and Defective cable replacement etc.</w:t>
      </w:r>
    </w:p>
    <w:p w:rsidR="00DD71EF" w:rsidRPr="009A3C4C" w:rsidRDefault="00DD71EF" w:rsidP="00DD71EF">
      <w:pPr>
        <w:pStyle w:val="ListParagraph"/>
        <w:numPr>
          <w:ilvl w:val="0"/>
          <w:numId w:val="20"/>
        </w:numPr>
        <w:tabs>
          <w:tab w:val="left" w:pos="270"/>
        </w:tabs>
        <w:jc w:val="both"/>
        <w:rPr>
          <w:rFonts w:asciiTheme="minorHAnsi" w:hAnsiTheme="minorHAnsi" w:cstheme="minorHAnsi"/>
          <w:szCs w:val="24"/>
        </w:rPr>
      </w:pPr>
      <w:r w:rsidRPr="009A3C4C">
        <w:rPr>
          <w:rFonts w:asciiTheme="minorHAnsi" w:hAnsiTheme="minorHAnsi" w:cstheme="minorHAnsi"/>
          <w:b/>
          <w:bCs/>
          <w:szCs w:val="24"/>
        </w:rPr>
        <w:t>Reliability:</w:t>
      </w:r>
      <w:r w:rsidRPr="009A3C4C">
        <w:rPr>
          <w:rFonts w:asciiTheme="minorHAnsi" w:hAnsiTheme="minorHAnsi" w:cstheme="minorHAnsi"/>
          <w:szCs w:val="24"/>
        </w:rPr>
        <w:t xml:space="preserve"> Investment required to improve the Reliability and Quality of Power Supply by taking various initiatives like Feeder addition / augmentation, Transformer addition / augmentation and N-1 redundancy etc.</w:t>
      </w:r>
    </w:p>
    <w:p w:rsidR="00DD71EF" w:rsidRPr="009A3C4C" w:rsidRDefault="00DD71EF" w:rsidP="00DD71EF">
      <w:pPr>
        <w:pStyle w:val="ListParagraph"/>
        <w:numPr>
          <w:ilvl w:val="0"/>
          <w:numId w:val="20"/>
        </w:numPr>
        <w:tabs>
          <w:tab w:val="left" w:pos="270"/>
        </w:tabs>
        <w:jc w:val="both"/>
        <w:rPr>
          <w:rFonts w:asciiTheme="minorHAnsi" w:hAnsiTheme="minorHAnsi" w:cstheme="minorHAnsi"/>
          <w:szCs w:val="24"/>
        </w:rPr>
      </w:pPr>
      <w:r w:rsidRPr="009A3C4C">
        <w:rPr>
          <w:rFonts w:asciiTheme="minorHAnsi" w:hAnsiTheme="minorHAnsi" w:cstheme="minorHAnsi"/>
          <w:b/>
          <w:bCs/>
          <w:szCs w:val="24"/>
        </w:rPr>
        <w:t>Load Growth:</w:t>
      </w:r>
      <w:r w:rsidRPr="009A3C4C">
        <w:rPr>
          <w:rFonts w:asciiTheme="minorHAnsi" w:hAnsiTheme="minorHAnsi" w:cstheme="minorHAnsi"/>
          <w:szCs w:val="24"/>
        </w:rPr>
        <w:t xml:space="preserve"> Investment is required to meet the Load Growth in the network and making the network future ready. This includes Augmentation / Addition of Feeder, Transformers, sub-stations etc.</w:t>
      </w:r>
    </w:p>
    <w:p w:rsidR="00DD71EF" w:rsidRPr="009A3C4C" w:rsidRDefault="00DD71EF" w:rsidP="00DD71EF">
      <w:pPr>
        <w:pStyle w:val="ListParagraph"/>
        <w:numPr>
          <w:ilvl w:val="0"/>
          <w:numId w:val="20"/>
        </w:numPr>
        <w:tabs>
          <w:tab w:val="left" w:pos="270"/>
        </w:tabs>
        <w:jc w:val="both"/>
        <w:rPr>
          <w:rFonts w:asciiTheme="minorHAnsi" w:hAnsiTheme="minorHAnsi" w:cstheme="minorHAnsi"/>
          <w:szCs w:val="24"/>
        </w:rPr>
      </w:pPr>
      <w:r w:rsidRPr="009A3C4C">
        <w:rPr>
          <w:rFonts w:asciiTheme="minorHAnsi" w:hAnsiTheme="minorHAnsi" w:cstheme="minorHAnsi"/>
          <w:b/>
          <w:bCs/>
          <w:szCs w:val="24"/>
        </w:rPr>
        <w:t>Technology and Infrastructure:</w:t>
      </w:r>
      <w:r w:rsidRPr="009A3C4C">
        <w:rPr>
          <w:rFonts w:asciiTheme="minorHAnsi" w:hAnsiTheme="minorHAnsi" w:cstheme="minorHAnsi"/>
          <w:szCs w:val="24"/>
        </w:rPr>
        <w:t xml:space="preserve"> Investment related to technology adoption and strengthening of various infrastructure to improve internal as well as external customer satisfaction. This includes IT infrastructure, GIS implementation, Civil infrastructure, Transformer Workshop and Admin assets.</w:t>
      </w:r>
    </w:p>
    <w:p w:rsidR="00DD71EF" w:rsidRDefault="00DD71EF" w:rsidP="00DD71EF">
      <w:pPr>
        <w:jc w:val="both"/>
        <w:rPr>
          <w:rFonts w:asciiTheme="minorHAnsi" w:hAnsiTheme="minorHAnsi" w:cstheme="minorHAnsi"/>
          <w:szCs w:val="24"/>
        </w:rPr>
      </w:pPr>
      <w:r w:rsidRPr="009A3C4C">
        <w:rPr>
          <w:rFonts w:asciiTheme="minorHAnsi" w:hAnsiTheme="minorHAnsi" w:cstheme="minorHAnsi"/>
          <w:szCs w:val="24"/>
        </w:rPr>
        <w:t>Power for all-24 hours supply concept: TSNPDCL is committed to provide 24 hours power supply in all the areas under its jurisdiction which requires comprehensive plan for system strengthening loss reduction and reliability improvement.</w:t>
      </w:r>
    </w:p>
    <w:p w:rsidR="00DD71EF" w:rsidRDefault="00DD71EF" w:rsidP="00DD71EF">
      <w:pPr>
        <w:jc w:val="both"/>
        <w:rPr>
          <w:rFonts w:asciiTheme="minorHAnsi" w:hAnsiTheme="minorHAnsi" w:cstheme="minorHAnsi"/>
          <w:szCs w:val="24"/>
        </w:rPr>
      </w:pPr>
    </w:p>
    <w:p w:rsidR="00DD71EF" w:rsidRPr="009A3C4C" w:rsidRDefault="00DD71EF" w:rsidP="00DD71EF">
      <w:pPr>
        <w:pStyle w:val="ListParagraph"/>
        <w:numPr>
          <w:ilvl w:val="0"/>
          <w:numId w:val="19"/>
        </w:numPr>
        <w:tabs>
          <w:tab w:val="left" w:pos="270"/>
        </w:tabs>
        <w:ind w:left="270" w:hanging="270"/>
        <w:jc w:val="both"/>
        <w:rPr>
          <w:rFonts w:asciiTheme="minorHAnsi" w:hAnsiTheme="minorHAnsi" w:cstheme="minorHAnsi"/>
          <w:szCs w:val="24"/>
        </w:rPr>
      </w:pPr>
      <w:r w:rsidRPr="009A3C4C">
        <w:rPr>
          <w:rFonts w:asciiTheme="minorHAnsi" w:hAnsiTheme="minorHAnsi" w:cstheme="minorHAnsi"/>
          <w:b/>
          <w:bCs/>
          <w:szCs w:val="24"/>
        </w:rPr>
        <w:t>Key Network Statistics are as given below:</w:t>
      </w:r>
    </w:p>
    <w:tbl>
      <w:tblPr>
        <w:tblW w:w="5000" w:type="pct"/>
        <w:jc w:val="center"/>
        <w:tblLook w:val="04A0"/>
      </w:tblPr>
      <w:tblGrid>
        <w:gridCol w:w="5359"/>
        <w:gridCol w:w="1639"/>
        <w:gridCol w:w="2578"/>
      </w:tblGrid>
      <w:tr w:rsidR="00DD71EF" w:rsidRPr="009A3C4C" w:rsidTr="00DD71EF">
        <w:trPr>
          <w:trHeight w:val="357"/>
          <w:tblHeade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b/>
                <w:bCs/>
                <w:color w:val="000000"/>
                <w:szCs w:val="24"/>
              </w:rPr>
            </w:pPr>
            <w:r w:rsidRPr="009A3C4C">
              <w:rPr>
                <w:rFonts w:asciiTheme="minorHAnsi" w:eastAsia="Times New Roman" w:hAnsiTheme="minorHAnsi" w:cstheme="minorHAnsi"/>
                <w:b/>
                <w:bCs/>
                <w:color w:val="000000"/>
                <w:szCs w:val="24"/>
              </w:rPr>
              <w:t>TSNPDCL Network Infrastructure (FY 2022-23)</w:t>
            </w:r>
          </w:p>
        </w:tc>
      </w:tr>
      <w:tr w:rsidR="00DD71EF" w:rsidRPr="009A3C4C" w:rsidTr="00DD71EF">
        <w:trPr>
          <w:trHeight w:val="357"/>
          <w:tblHeader/>
          <w:jc w:val="center"/>
        </w:trPr>
        <w:tc>
          <w:tcPr>
            <w:tcW w:w="2798" w:type="pct"/>
            <w:tcBorders>
              <w:top w:val="nil"/>
              <w:left w:val="single" w:sz="4" w:space="0" w:color="auto"/>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rPr>
                <w:rFonts w:asciiTheme="minorHAnsi" w:eastAsia="Times New Roman" w:hAnsiTheme="minorHAnsi" w:cstheme="minorHAnsi"/>
                <w:b/>
                <w:bCs/>
                <w:color w:val="000000"/>
                <w:szCs w:val="24"/>
              </w:rPr>
            </w:pPr>
            <w:r w:rsidRPr="009A3C4C">
              <w:rPr>
                <w:rFonts w:asciiTheme="minorHAnsi" w:eastAsia="Times New Roman" w:hAnsiTheme="minorHAnsi" w:cstheme="minorHAnsi"/>
                <w:b/>
                <w:bCs/>
                <w:color w:val="000000"/>
                <w:szCs w:val="24"/>
              </w:rPr>
              <w:t>Network Elements</w:t>
            </w:r>
          </w:p>
        </w:tc>
        <w:tc>
          <w:tcPr>
            <w:tcW w:w="85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b/>
                <w:bCs/>
                <w:color w:val="000000"/>
                <w:szCs w:val="24"/>
              </w:rPr>
            </w:pPr>
            <w:r w:rsidRPr="009A3C4C">
              <w:rPr>
                <w:rFonts w:asciiTheme="minorHAnsi" w:eastAsia="Times New Roman" w:hAnsiTheme="minorHAnsi" w:cstheme="minorHAnsi"/>
                <w:b/>
                <w:bCs/>
                <w:color w:val="000000"/>
                <w:szCs w:val="24"/>
              </w:rPr>
              <w:t>Unit</w:t>
            </w:r>
          </w:p>
        </w:tc>
        <w:tc>
          <w:tcPr>
            <w:tcW w:w="134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b/>
                <w:bCs/>
                <w:color w:val="000000"/>
                <w:szCs w:val="24"/>
              </w:rPr>
            </w:pPr>
            <w:r w:rsidRPr="009A3C4C">
              <w:rPr>
                <w:rFonts w:asciiTheme="minorHAnsi" w:eastAsia="Times New Roman" w:hAnsiTheme="minorHAnsi" w:cstheme="minorHAnsi"/>
                <w:b/>
                <w:bCs/>
                <w:color w:val="000000"/>
                <w:szCs w:val="24"/>
              </w:rPr>
              <w:t>Quantity</w:t>
            </w:r>
          </w:p>
        </w:tc>
      </w:tr>
      <w:tr w:rsidR="00DD71EF" w:rsidRPr="009A3C4C" w:rsidTr="00DD71EF">
        <w:trPr>
          <w:trHeight w:val="357"/>
          <w:jc w:val="center"/>
        </w:trPr>
        <w:tc>
          <w:tcPr>
            <w:tcW w:w="2798" w:type="pct"/>
            <w:tcBorders>
              <w:top w:val="nil"/>
              <w:left w:val="single" w:sz="4" w:space="0" w:color="auto"/>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33/11 KV Sub-station</w:t>
            </w:r>
          </w:p>
        </w:tc>
        <w:tc>
          <w:tcPr>
            <w:tcW w:w="85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Nos.</w:t>
            </w:r>
          </w:p>
        </w:tc>
        <w:tc>
          <w:tcPr>
            <w:tcW w:w="134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1479</w:t>
            </w:r>
          </w:p>
        </w:tc>
      </w:tr>
      <w:tr w:rsidR="00DD71EF" w:rsidRPr="009A3C4C" w:rsidTr="00DD71EF">
        <w:trPr>
          <w:trHeight w:val="357"/>
          <w:jc w:val="center"/>
        </w:trPr>
        <w:tc>
          <w:tcPr>
            <w:tcW w:w="2798" w:type="pct"/>
            <w:tcBorders>
              <w:top w:val="nil"/>
              <w:left w:val="single" w:sz="4" w:space="0" w:color="auto"/>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PTRs</w:t>
            </w:r>
          </w:p>
        </w:tc>
        <w:tc>
          <w:tcPr>
            <w:tcW w:w="85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Nos.</w:t>
            </w:r>
          </w:p>
        </w:tc>
        <w:tc>
          <w:tcPr>
            <w:tcW w:w="134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2406</w:t>
            </w:r>
          </w:p>
        </w:tc>
      </w:tr>
      <w:tr w:rsidR="00DD71EF" w:rsidRPr="009A3C4C" w:rsidTr="00DD71EF">
        <w:trPr>
          <w:trHeight w:val="357"/>
          <w:jc w:val="center"/>
        </w:trPr>
        <w:tc>
          <w:tcPr>
            <w:tcW w:w="2798" w:type="pct"/>
            <w:tcBorders>
              <w:top w:val="nil"/>
              <w:left w:val="single" w:sz="4" w:space="0" w:color="auto"/>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PTR Capacity</w:t>
            </w:r>
          </w:p>
        </w:tc>
        <w:tc>
          <w:tcPr>
            <w:tcW w:w="85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MVA</w:t>
            </w:r>
          </w:p>
        </w:tc>
        <w:tc>
          <w:tcPr>
            <w:tcW w:w="134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12432</w:t>
            </w:r>
          </w:p>
        </w:tc>
      </w:tr>
      <w:tr w:rsidR="00DD71EF" w:rsidRPr="009A3C4C" w:rsidTr="00DD71EF">
        <w:trPr>
          <w:trHeight w:val="357"/>
          <w:jc w:val="center"/>
        </w:trPr>
        <w:tc>
          <w:tcPr>
            <w:tcW w:w="2798" w:type="pct"/>
            <w:tcBorders>
              <w:top w:val="nil"/>
              <w:left w:val="single" w:sz="4" w:space="0" w:color="auto"/>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DTRs</w:t>
            </w:r>
          </w:p>
        </w:tc>
        <w:tc>
          <w:tcPr>
            <w:tcW w:w="85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Nos.</w:t>
            </w:r>
          </w:p>
        </w:tc>
        <w:tc>
          <w:tcPr>
            <w:tcW w:w="134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317970</w:t>
            </w:r>
          </w:p>
        </w:tc>
      </w:tr>
      <w:tr w:rsidR="00DD71EF" w:rsidRPr="009A3C4C" w:rsidTr="00DD71EF">
        <w:trPr>
          <w:trHeight w:val="357"/>
          <w:jc w:val="center"/>
        </w:trPr>
        <w:tc>
          <w:tcPr>
            <w:tcW w:w="2798" w:type="pct"/>
            <w:tcBorders>
              <w:top w:val="nil"/>
              <w:left w:val="single" w:sz="4" w:space="0" w:color="auto"/>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DTR Capacity</w:t>
            </w:r>
          </w:p>
        </w:tc>
        <w:tc>
          <w:tcPr>
            <w:tcW w:w="85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MVA</w:t>
            </w:r>
          </w:p>
        </w:tc>
        <w:tc>
          <w:tcPr>
            <w:tcW w:w="134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 xml:space="preserve">11944 </w:t>
            </w:r>
          </w:p>
        </w:tc>
      </w:tr>
      <w:tr w:rsidR="00DD71EF" w:rsidRPr="009A3C4C" w:rsidTr="00DD71EF">
        <w:trPr>
          <w:trHeight w:val="357"/>
          <w:jc w:val="center"/>
        </w:trPr>
        <w:tc>
          <w:tcPr>
            <w:tcW w:w="2798" w:type="pct"/>
            <w:tcBorders>
              <w:top w:val="nil"/>
              <w:left w:val="single" w:sz="4" w:space="0" w:color="auto"/>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33 KV Feeders</w:t>
            </w:r>
          </w:p>
        </w:tc>
        <w:tc>
          <w:tcPr>
            <w:tcW w:w="85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Nos.</w:t>
            </w:r>
          </w:p>
        </w:tc>
        <w:tc>
          <w:tcPr>
            <w:tcW w:w="134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655</w:t>
            </w:r>
          </w:p>
        </w:tc>
      </w:tr>
      <w:tr w:rsidR="00DD71EF" w:rsidRPr="009A3C4C" w:rsidTr="00DD71EF">
        <w:trPr>
          <w:trHeight w:val="357"/>
          <w:jc w:val="center"/>
        </w:trPr>
        <w:tc>
          <w:tcPr>
            <w:tcW w:w="2798" w:type="pct"/>
            <w:tcBorders>
              <w:top w:val="nil"/>
              <w:left w:val="single" w:sz="4" w:space="0" w:color="auto"/>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lastRenderedPageBreak/>
              <w:t>11 KV Feeders</w:t>
            </w:r>
          </w:p>
        </w:tc>
        <w:tc>
          <w:tcPr>
            <w:tcW w:w="85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Nos.</w:t>
            </w:r>
          </w:p>
        </w:tc>
        <w:tc>
          <w:tcPr>
            <w:tcW w:w="134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6291</w:t>
            </w:r>
          </w:p>
        </w:tc>
      </w:tr>
      <w:tr w:rsidR="00DD71EF" w:rsidRPr="009A3C4C" w:rsidTr="00DD71EF">
        <w:trPr>
          <w:trHeight w:val="357"/>
          <w:jc w:val="center"/>
        </w:trPr>
        <w:tc>
          <w:tcPr>
            <w:tcW w:w="2798" w:type="pct"/>
            <w:tcBorders>
              <w:top w:val="nil"/>
              <w:left w:val="single" w:sz="4" w:space="0" w:color="auto"/>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Line length</w:t>
            </w:r>
          </w:p>
        </w:tc>
        <w:tc>
          <w:tcPr>
            <w:tcW w:w="85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KM</w:t>
            </w:r>
          </w:p>
        </w:tc>
        <w:tc>
          <w:tcPr>
            <w:tcW w:w="134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281881</w:t>
            </w:r>
          </w:p>
        </w:tc>
      </w:tr>
      <w:tr w:rsidR="00DD71EF" w:rsidRPr="009A3C4C" w:rsidTr="00DD71EF">
        <w:trPr>
          <w:trHeight w:val="357"/>
          <w:jc w:val="center"/>
        </w:trPr>
        <w:tc>
          <w:tcPr>
            <w:tcW w:w="2798" w:type="pct"/>
            <w:tcBorders>
              <w:top w:val="nil"/>
              <w:left w:val="single" w:sz="4" w:space="0" w:color="auto"/>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Capacitor Bank</w:t>
            </w:r>
          </w:p>
        </w:tc>
        <w:tc>
          <w:tcPr>
            <w:tcW w:w="85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Nos.</w:t>
            </w:r>
          </w:p>
        </w:tc>
        <w:tc>
          <w:tcPr>
            <w:tcW w:w="1346" w:type="pct"/>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color w:val="000000"/>
                <w:szCs w:val="24"/>
              </w:rPr>
            </w:pPr>
            <w:r w:rsidRPr="009A3C4C">
              <w:rPr>
                <w:rFonts w:asciiTheme="minorHAnsi" w:eastAsia="Times New Roman" w:hAnsiTheme="minorHAnsi" w:cstheme="minorHAnsi"/>
                <w:color w:val="000000"/>
                <w:szCs w:val="24"/>
              </w:rPr>
              <w:t>1385</w:t>
            </w:r>
          </w:p>
        </w:tc>
      </w:tr>
    </w:tbl>
    <w:p w:rsidR="00DD71EF" w:rsidRDefault="00DD71EF" w:rsidP="00DD71EF">
      <w:pPr>
        <w:jc w:val="both"/>
        <w:rPr>
          <w:rFonts w:asciiTheme="minorHAnsi" w:hAnsiTheme="minorHAnsi" w:cstheme="minorHAnsi"/>
        </w:rPr>
      </w:pPr>
    </w:p>
    <w:p w:rsidR="00DD71EF" w:rsidRPr="009A3C4C" w:rsidRDefault="00DD71EF" w:rsidP="00DD71EF">
      <w:pPr>
        <w:pStyle w:val="ListParagraph"/>
        <w:numPr>
          <w:ilvl w:val="0"/>
          <w:numId w:val="19"/>
        </w:numPr>
        <w:tabs>
          <w:tab w:val="left" w:pos="270"/>
        </w:tabs>
        <w:ind w:left="270" w:hanging="270"/>
        <w:jc w:val="both"/>
        <w:rPr>
          <w:rFonts w:asciiTheme="minorHAnsi" w:hAnsiTheme="minorHAnsi" w:cstheme="minorHAnsi"/>
          <w:b/>
          <w:bCs/>
          <w:szCs w:val="24"/>
        </w:rPr>
      </w:pPr>
      <w:r w:rsidRPr="009A3C4C">
        <w:rPr>
          <w:rFonts w:asciiTheme="minorHAnsi" w:hAnsiTheme="minorHAnsi" w:cstheme="minorHAnsi"/>
          <w:b/>
          <w:bCs/>
          <w:szCs w:val="24"/>
        </w:rPr>
        <w:t>Consumer &amp; Peak Demand Growth in 4</w:t>
      </w:r>
      <w:r w:rsidRPr="009A3C4C">
        <w:rPr>
          <w:rFonts w:asciiTheme="minorHAnsi" w:hAnsiTheme="minorHAnsi" w:cstheme="minorHAnsi"/>
          <w:b/>
          <w:bCs/>
          <w:szCs w:val="24"/>
          <w:vertAlign w:val="superscript"/>
        </w:rPr>
        <w:t>th</w:t>
      </w:r>
      <w:r w:rsidRPr="009A3C4C">
        <w:rPr>
          <w:rFonts w:asciiTheme="minorHAnsi" w:hAnsiTheme="minorHAnsi" w:cstheme="minorHAnsi"/>
          <w:b/>
          <w:bCs/>
          <w:szCs w:val="24"/>
        </w:rPr>
        <w:t xml:space="preserve"> CP</w:t>
      </w:r>
    </w:p>
    <w:p w:rsidR="00DD71EF" w:rsidRPr="00DD71EF" w:rsidRDefault="00DD71EF" w:rsidP="00DD71EF">
      <w:pPr>
        <w:jc w:val="both"/>
        <w:rPr>
          <w:rFonts w:asciiTheme="minorHAnsi" w:hAnsiTheme="minorHAnsi" w:cstheme="minorHAnsi"/>
        </w:rPr>
      </w:pPr>
      <w:r>
        <w:rPr>
          <w:noProof/>
        </w:rPr>
        <w:drawing>
          <wp:anchor distT="0" distB="0" distL="114300" distR="114300" simplePos="0" relativeHeight="251656704" behindDoc="0" locked="0" layoutInCell="1" allowOverlap="1">
            <wp:simplePos x="0" y="0"/>
            <wp:positionH relativeFrom="column">
              <wp:posOffset>0</wp:posOffset>
            </wp:positionH>
            <wp:positionV relativeFrom="paragraph">
              <wp:posOffset>304800</wp:posOffset>
            </wp:positionV>
            <wp:extent cx="5695950" cy="3200400"/>
            <wp:effectExtent l="0" t="0" r="0" b="0"/>
            <wp:wrapSquare wrapText="bothSides"/>
            <wp:docPr id="17" name="Chart 17">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40AEB4F8-F16C-4C8E-9529-A648C7FC248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DD71EF" w:rsidRPr="00DD71EF" w:rsidRDefault="00DD71EF" w:rsidP="00604281">
      <w:pPr>
        <w:jc w:val="center"/>
        <w:rPr>
          <w:rFonts w:asciiTheme="minorHAnsi" w:hAnsiTheme="minorHAnsi" w:cstheme="minorHAnsi"/>
        </w:rPr>
      </w:pPr>
      <w:r w:rsidRPr="009A3C4C">
        <w:rPr>
          <w:rFonts w:asciiTheme="minorHAnsi" w:hAnsiTheme="minorHAnsi" w:cstheme="minorHAnsi"/>
          <w:noProof/>
          <w:szCs w:val="24"/>
        </w:rPr>
        <w:lastRenderedPageBreak/>
        <w:drawing>
          <wp:inline distT="0" distB="0" distL="0" distR="0">
            <wp:extent cx="5703570" cy="3643086"/>
            <wp:effectExtent l="0" t="0" r="11430" b="14605"/>
            <wp:docPr id="2" name="Chart 2">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45133A23-6F1F-4B41-9930-B21F547A967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D71EF" w:rsidRPr="00DD71EF" w:rsidRDefault="00DD71EF" w:rsidP="00DD71EF">
      <w:pPr>
        <w:rPr>
          <w:rFonts w:asciiTheme="minorHAnsi" w:hAnsiTheme="minorHAnsi" w:cstheme="minorHAnsi"/>
        </w:rPr>
      </w:pPr>
    </w:p>
    <w:p w:rsidR="00DD71EF" w:rsidRPr="009A3C4C" w:rsidRDefault="00DD71EF" w:rsidP="00DD71EF">
      <w:pPr>
        <w:pStyle w:val="ListParagraph"/>
        <w:numPr>
          <w:ilvl w:val="0"/>
          <w:numId w:val="19"/>
        </w:numPr>
        <w:tabs>
          <w:tab w:val="left" w:pos="270"/>
        </w:tabs>
        <w:ind w:left="270" w:hanging="270"/>
        <w:jc w:val="both"/>
        <w:rPr>
          <w:rFonts w:asciiTheme="minorHAnsi" w:hAnsiTheme="minorHAnsi" w:cstheme="minorHAnsi"/>
          <w:b/>
          <w:bCs/>
          <w:szCs w:val="24"/>
        </w:rPr>
      </w:pPr>
      <w:r w:rsidRPr="009A3C4C">
        <w:rPr>
          <w:rFonts w:asciiTheme="minorHAnsi" w:hAnsiTheme="minorHAnsi" w:cstheme="minorHAnsi"/>
          <w:b/>
          <w:bCs/>
          <w:szCs w:val="24"/>
        </w:rPr>
        <w:t>Investment Summary of 4</w:t>
      </w:r>
      <w:r w:rsidRPr="009A3C4C">
        <w:rPr>
          <w:rFonts w:asciiTheme="minorHAnsi" w:hAnsiTheme="minorHAnsi" w:cstheme="minorHAnsi"/>
          <w:b/>
          <w:bCs/>
          <w:szCs w:val="24"/>
          <w:vertAlign w:val="superscript"/>
        </w:rPr>
        <w:t>th</w:t>
      </w:r>
      <w:r w:rsidRPr="009A3C4C">
        <w:rPr>
          <w:rFonts w:asciiTheme="minorHAnsi" w:hAnsiTheme="minorHAnsi" w:cstheme="minorHAnsi"/>
          <w:b/>
          <w:bCs/>
          <w:szCs w:val="24"/>
        </w:rPr>
        <w:t xml:space="preserve"> Control Period:</w:t>
      </w:r>
    </w:p>
    <w:p w:rsidR="00DD71EF" w:rsidRPr="009A3C4C" w:rsidRDefault="00DD71EF" w:rsidP="00DD71EF">
      <w:pPr>
        <w:jc w:val="both"/>
        <w:rPr>
          <w:rFonts w:asciiTheme="minorHAnsi" w:hAnsiTheme="minorHAnsi" w:cstheme="minorHAnsi"/>
          <w:szCs w:val="24"/>
        </w:rPr>
      </w:pPr>
      <w:r w:rsidRPr="009A3C4C">
        <w:rPr>
          <w:rFonts w:asciiTheme="minorHAnsi" w:hAnsiTheme="minorHAnsi" w:cstheme="minorHAnsi"/>
          <w:szCs w:val="24"/>
        </w:rPr>
        <w:t>The summary of the Capex filed, approved in Distribution MYT order and Actual expenditure against the approved capex for the 4</w:t>
      </w:r>
      <w:r w:rsidRPr="009A3C4C">
        <w:rPr>
          <w:rFonts w:asciiTheme="minorHAnsi" w:hAnsiTheme="minorHAnsi" w:cstheme="minorHAnsi"/>
          <w:szCs w:val="24"/>
          <w:vertAlign w:val="superscript"/>
        </w:rPr>
        <w:t>th</w:t>
      </w:r>
      <w:r w:rsidRPr="009A3C4C">
        <w:rPr>
          <w:rFonts w:asciiTheme="minorHAnsi" w:hAnsiTheme="minorHAnsi" w:cstheme="minorHAnsi"/>
          <w:szCs w:val="24"/>
        </w:rPr>
        <w:t xml:space="preserve"> Control Period (FY 2019-20 to FY 2023-24) is as given below:</w:t>
      </w:r>
    </w:p>
    <w:tbl>
      <w:tblPr>
        <w:tblW w:w="9350" w:type="dxa"/>
        <w:jc w:val="center"/>
        <w:tblLayout w:type="fixed"/>
        <w:tblLook w:val="04A0"/>
      </w:tblPr>
      <w:tblGrid>
        <w:gridCol w:w="1607"/>
        <w:gridCol w:w="1256"/>
        <w:gridCol w:w="1433"/>
        <w:gridCol w:w="1290"/>
        <w:gridCol w:w="1828"/>
        <w:gridCol w:w="1936"/>
      </w:tblGrid>
      <w:tr w:rsidR="00DD71EF" w:rsidRPr="009A3C4C" w:rsidTr="00604281">
        <w:trPr>
          <w:trHeight w:val="247"/>
          <w:jc w:val="center"/>
        </w:trPr>
        <w:tc>
          <w:tcPr>
            <w:tcW w:w="93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DD71EF" w:rsidRPr="009A3C4C" w:rsidRDefault="00DD71EF" w:rsidP="00346E72">
            <w:pPr>
              <w:spacing w:after="0" w:line="240" w:lineRule="auto"/>
              <w:jc w:val="center"/>
              <w:rPr>
                <w:rFonts w:asciiTheme="minorHAnsi" w:eastAsia="Times New Roman" w:hAnsiTheme="minorHAnsi" w:cstheme="minorHAnsi"/>
                <w:b/>
                <w:bCs/>
                <w:szCs w:val="24"/>
              </w:rPr>
            </w:pPr>
            <w:r w:rsidRPr="009A3C4C">
              <w:rPr>
                <w:rFonts w:asciiTheme="minorHAnsi" w:eastAsia="Times New Roman" w:hAnsiTheme="minorHAnsi" w:cstheme="minorHAnsi"/>
                <w:b/>
                <w:bCs/>
                <w:szCs w:val="24"/>
              </w:rPr>
              <w:t>TSNPDCL (in Rs. Cr)</w:t>
            </w:r>
          </w:p>
        </w:tc>
      </w:tr>
      <w:tr w:rsidR="00DD71EF" w:rsidRPr="009A3C4C" w:rsidTr="00604281">
        <w:trPr>
          <w:trHeight w:val="618"/>
          <w:jc w:val="center"/>
        </w:trPr>
        <w:tc>
          <w:tcPr>
            <w:tcW w:w="1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b/>
                <w:bCs/>
                <w:szCs w:val="24"/>
              </w:rPr>
            </w:pPr>
            <w:r w:rsidRPr="009A3C4C">
              <w:rPr>
                <w:rFonts w:asciiTheme="minorHAnsi" w:eastAsia="Times New Roman" w:hAnsiTheme="minorHAnsi" w:cstheme="minorHAnsi"/>
                <w:b/>
                <w:bCs/>
                <w:szCs w:val="24"/>
              </w:rPr>
              <w:t>FY</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b/>
                <w:bCs/>
                <w:szCs w:val="24"/>
              </w:rPr>
            </w:pPr>
            <w:r w:rsidRPr="009A3C4C">
              <w:rPr>
                <w:rFonts w:asciiTheme="minorHAnsi" w:eastAsia="Times New Roman" w:hAnsiTheme="minorHAnsi" w:cstheme="minorHAnsi"/>
                <w:b/>
                <w:bCs/>
                <w:szCs w:val="24"/>
              </w:rPr>
              <w:t>Filed Capex</w:t>
            </w:r>
          </w:p>
        </w:tc>
        <w:tc>
          <w:tcPr>
            <w:tcW w:w="1433" w:type="dxa"/>
            <w:tcBorders>
              <w:top w:val="single" w:sz="4" w:space="0" w:color="auto"/>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b/>
                <w:bCs/>
                <w:szCs w:val="24"/>
              </w:rPr>
            </w:pPr>
            <w:r w:rsidRPr="009A3C4C">
              <w:rPr>
                <w:rFonts w:asciiTheme="minorHAnsi" w:eastAsia="Times New Roman" w:hAnsiTheme="minorHAnsi" w:cstheme="minorHAnsi"/>
                <w:b/>
                <w:bCs/>
                <w:szCs w:val="24"/>
              </w:rPr>
              <w:t>Approved Capex</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b/>
                <w:bCs/>
                <w:szCs w:val="24"/>
              </w:rPr>
            </w:pPr>
            <w:r w:rsidRPr="009A3C4C">
              <w:rPr>
                <w:rFonts w:asciiTheme="minorHAnsi" w:eastAsia="Times New Roman" w:hAnsiTheme="minorHAnsi" w:cstheme="minorHAnsi"/>
                <w:b/>
                <w:bCs/>
                <w:szCs w:val="24"/>
              </w:rPr>
              <w:t>Actual Capex</w:t>
            </w:r>
          </w:p>
        </w:tc>
        <w:tc>
          <w:tcPr>
            <w:tcW w:w="1828" w:type="dxa"/>
            <w:tcBorders>
              <w:top w:val="single" w:sz="4" w:space="0" w:color="auto"/>
              <w:left w:val="nil"/>
              <w:bottom w:val="single" w:sz="4" w:space="0" w:color="auto"/>
              <w:right w:val="single" w:sz="4" w:space="0" w:color="auto"/>
            </w:tcBorders>
            <w:shd w:val="clear" w:color="auto" w:fill="auto"/>
            <w:vAlign w:val="center"/>
            <w:hideMark/>
          </w:tcPr>
          <w:p w:rsidR="00DD71EF" w:rsidRPr="009A3C4C" w:rsidRDefault="00DD71EF" w:rsidP="00346E72">
            <w:pPr>
              <w:spacing w:after="0" w:line="240" w:lineRule="auto"/>
              <w:jc w:val="center"/>
              <w:rPr>
                <w:rFonts w:asciiTheme="minorHAnsi" w:eastAsia="Times New Roman" w:hAnsiTheme="minorHAnsi" w:cstheme="minorHAnsi"/>
                <w:b/>
                <w:bCs/>
                <w:szCs w:val="24"/>
              </w:rPr>
            </w:pPr>
            <w:r w:rsidRPr="009A3C4C">
              <w:rPr>
                <w:rFonts w:asciiTheme="minorHAnsi" w:eastAsia="Times New Roman" w:hAnsiTheme="minorHAnsi" w:cstheme="minorHAnsi"/>
                <w:b/>
                <w:bCs/>
                <w:szCs w:val="24"/>
              </w:rPr>
              <w:t>Variation (Approved over Filed)</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rsidR="00DD71EF" w:rsidRPr="009A3C4C" w:rsidRDefault="00DD71EF" w:rsidP="00346E72">
            <w:pPr>
              <w:spacing w:after="0" w:line="240" w:lineRule="auto"/>
              <w:jc w:val="center"/>
              <w:rPr>
                <w:rFonts w:asciiTheme="minorHAnsi" w:eastAsia="Times New Roman" w:hAnsiTheme="minorHAnsi" w:cstheme="minorHAnsi"/>
                <w:b/>
                <w:bCs/>
                <w:szCs w:val="24"/>
              </w:rPr>
            </w:pPr>
            <w:r w:rsidRPr="009A3C4C">
              <w:rPr>
                <w:rFonts w:asciiTheme="minorHAnsi" w:eastAsia="Times New Roman" w:hAnsiTheme="minorHAnsi" w:cstheme="minorHAnsi"/>
                <w:b/>
                <w:bCs/>
                <w:szCs w:val="24"/>
              </w:rPr>
              <w:t>Variation (Actual over Approved)</w:t>
            </w:r>
          </w:p>
        </w:tc>
      </w:tr>
      <w:tr w:rsidR="00DD71EF" w:rsidRPr="009A3C4C" w:rsidTr="00604281">
        <w:trPr>
          <w:trHeight w:val="214"/>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2019-20</w:t>
            </w:r>
          </w:p>
        </w:tc>
        <w:tc>
          <w:tcPr>
            <w:tcW w:w="1256"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1351.22</w:t>
            </w:r>
          </w:p>
        </w:tc>
        <w:tc>
          <w:tcPr>
            <w:tcW w:w="1433"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1055.78</w:t>
            </w:r>
          </w:p>
        </w:tc>
        <w:tc>
          <w:tcPr>
            <w:tcW w:w="1290"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536.30</w:t>
            </w:r>
          </w:p>
        </w:tc>
        <w:tc>
          <w:tcPr>
            <w:tcW w:w="1828" w:type="dxa"/>
            <w:tcBorders>
              <w:top w:val="nil"/>
              <w:left w:val="nil"/>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-22%</w:t>
            </w:r>
          </w:p>
        </w:tc>
        <w:tc>
          <w:tcPr>
            <w:tcW w:w="1936" w:type="dxa"/>
            <w:tcBorders>
              <w:top w:val="nil"/>
              <w:left w:val="nil"/>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-49%</w:t>
            </w:r>
          </w:p>
        </w:tc>
      </w:tr>
      <w:tr w:rsidR="00DD71EF" w:rsidRPr="009A3C4C" w:rsidTr="00604281">
        <w:trPr>
          <w:trHeight w:val="214"/>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2020-21</w:t>
            </w:r>
          </w:p>
        </w:tc>
        <w:tc>
          <w:tcPr>
            <w:tcW w:w="1256"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1937.31</w:t>
            </w:r>
          </w:p>
        </w:tc>
        <w:tc>
          <w:tcPr>
            <w:tcW w:w="1433"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1396.33</w:t>
            </w:r>
          </w:p>
        </w:tc>
        <w:tc>
          <w:tcPr>
            <w:tcW w:w="1290"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401.12</w:t>
            </w:r>
          </w:p>
        </w:tc>
        <w:tc>
          <w:tcPr>
            <w:tcW w:w="1828" w:type="dxa"/>
            <w:tcBorders>
              <w:top w:val="nil"/>
              <w:left w:val="nil"/>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-28%</w:t>
            </w:r>
          </w:p>
        </w:tc>
        <w:tc>
          <w:tcPr>
            <w:tcW w:w="1936" w:type="dxa"/>
            <w:tcBorders>
              <w:top w:val="nil"/>
              <w:left w:val="nil"/>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-71%</w:t>
            </w:r>
          </w:p>
        </w:tc>
      </w:tr>
      <w:tr w:rsidR="00DD71EF" w:rsidRPr="009A3C4C" w:rsidTr="00604281">
        <w:trPr>
          <w:trHeight w:val="214"/>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2021-22</w:t>
            </w:r>
          </w:p>
        </w:tc>
        <w:tc>
          <w:tcPr>
            <w:tcW w:w="1256"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2025.91</w:t>
            </w:r>
          </w:p>
        </w:tc>
        <w:tc>
          <w:tcPr>
            <w:tcW w:w="1433"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1386.61</w:t>
            </w:r>
          </w:p>
        </w:tc>
        <w:tc>
          <w:tcPr>
            <w:tcW w:w="1290"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504.</w:t>
            </w:r>
            <w:r>
              <w:rPr>
                <w:rFonts w:asciiTheme="minorHAnsi" w:eastAsia="Times New Roman" w:hAnsiTheme="minorHAnsi" w:cstheme="minorHAnsi"/>
                <w:szCs w:val="24"/>
              </w:rPr>
              <w:t>41</w:t>
            </w:r>
          </w:p>
        </w:tc>
        <w:tc>
          <w:tcPr>
            <w:tcW w:w="1828" w:type="dxa"/>
            <w:tcBorders>
              <w:top w:val="nil"/>
              <w:left w:val="nil"/>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-32%</w:t>
            </w:r>
          </w:p>
        </w:tc>
        <w:tc>
          <w:tcPr>
            <w:tcW w:w="1936" w:type="dxa"/>
            <w:tcBorders>
              <w:top w:val="nil"/>
              <w:left w:val="nil"/>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-64%</w:t>
            </w:r>
          </w:p>
        </w:tc>
      </w:tr>
      <w:tr w:rsidR="00DD71EF" w:rsidRPr="009A3C4C" w:rsidTr="00604281">
        <w:trPr>
          <w:trHeight w:val="214"/>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2022-23</w:t>
            </w:r>
          </w:p>
        </w:tc>
        <w:tc>
          <w:tcPr>
            <w:tcW w:w="1256"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2595.24</w:t>
            </w:r>
          </w:p>
        </w:tc>
        <w:tc>
          <w:tcPr>
            <w:tcW w:w="1433"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1572.79</w:t>
            </w:r>
          </w:p>
        </w:tc>
        <w:tc>
          <w:tcPr>
            <w:tcW w:w="1290"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Pr>
                <w:rFonts w:asciiTheme="minorHAnsi" w:eastAsia="Times New Roman" w:hAnsiTheme="minorHAnsi" w:cstheme="minorHAnsi"/>
                <w:szCs w:val="24"/>
              </w:rPr>
              <w:t xml:space="preserve"> </w:t>
            </w:r>
            <w:r w:rsidRPr="009A3C4C">
              <w:rPr>
                <w:rFonts w:asciiTheme="minorHAnsi" w:eastAsia="Times New Roman" w:hAnsiTheme="minorHAnsi" w:cstheme="minorHAnsi"/>
                <w:szCs w:val="24"/>
              </w:rPr>
              <w:t>512.</w:t>
            </w:r>
            <w:r>
              <w:rPr>
                <w:rFonts w:asciiTheme="minorHAnsi" w:eastAsia="Times New Roman" w:hAnsiTheme="minorHAnsi" w:cstheme="minorHAnsi"/>
                <w:szCs w:val="24"/>
              </w:rPr>
              <w:t>31</w:t>
            </w:r>
          </w:p>
        </w:tc>
        <w:tc>
          <w:tcPr>
            <w:tcW w:w="1828" w:type="dxa"/>
            <w:tcBorders>
              <w:top w:val="nil"/>
              <w:left w:val="nil"/>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-39%</w:t>
            </w:r>
          </w:p>
        </w:tc>
        <w:tc>
          <w:tcPr>
            <w:tcW w:w="1936" w:type="dxa"/>
            <w:tcBorders>
              <w:top w:val="nil"/>
              <w:left w:val="nil"/>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-67%</w:t>
            </w:r>
          </w:p>
        </w:tc>
      </w:tr>
      <w:tr w:rsidR="00DD71EF" w:rsidRPr="009A3C4C" w:rsidTr="00604281">
        <w:trPr>
          <w:trHeight w:val="214"/>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2023-24</w:t>
            </w:r>
          </w:p>
        </w:tc>
        <w:tc>
          <w:tcPr>
            <w:tcW w:w="1256"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2484.16</w:t>
            </w:r>
          </w:p>
        </w:tc>
        <w:tc>
          <w:tcPr>
            <w:tcW w:w="1433"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1794.05</w:t>
            </w:r>
          </w:p>
        </w:tc>
        <w:tc>
          <w:tcPr>
            <w:tcW w:w="1290"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 </w:t>
            </w:r>
          </w:p>
        </w:tc>
        <w:tc>
          <w:tcPr>
            <w:tcW w:w="1828" w:type="dxa"/>
            <w:tcBorders>
              <w:top w:val="nil"/>
              <w:left w:val="nil"/>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-28%</w:t>
            </w:r>
          </w:p>
        </w:tc>
        <w:tc>
          <w:tcPr>
            <w:tcW w:w="1936" w:type="dxa"/>
            <w:tcBorders>
              <w:top w:val="nil"/>
              <w:left w:val="nil"/>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 </w:t>
            </w:r>
          </w:p>
        </w:tc>
      </w:tr>
      <w:tr w:rsidR="00DD71EF" w:rsidRPr="009A3C4C" w:rsidTr="00604281">
        <w:trPr>
          <w:trHeight w:val="223"/>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b/>
                <w:bCs/>
                <w:szCs w:val="24"/>
              </w:rPr>
            </w:pPr>
            <w:r w:rsidRPr="009A3C4C">
              <w:rPr>
                <w:rFonts w:asciiTheme="minorHAnsi" w:eastAsia="Times New Roman" w:hAnsiTheme="minorHAnsi" w:cstheme="minorHAnsi"/>
                <w:b/>
                <w:bCs/>
                <w:szCs w:val="24"/>
              </w:rPr>
              <w:t>Total</w:t>
            </w:r>
          </w:p>
        </w:tc>
        <w:tc>
          <w:tcPr>
            <w:tcW w:w="1256"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b/>
                <w:bCs/>
                <w:szCs w:val="24"/>
              </w:rPr>
            </w:pPr>
            <w:r w:rsidRPr="009A3C4C">
              <w:rPr>
                <w:rFonts w:asciiTheme="minorHAnsi" w:eastAsia="Times New Roman" w:hAnsiTheme="minorHAnsi" w:cstheme="minorHAnsi"/>
                <w:b/>
                <w:bCs/>
                <w:szCs w:val="24"/>
              </w:rPr>
              <w:t>10393.84</w:t>
            </w:r>
          </w:p>
        </w:tc>
        <w:tc>
          <w:tcPr>
            <w:tcW w:w="1433"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b/>
                <w:bCs/>
                <w:szCs w:val="24"/>
              </w:rPr>
            </w:pPr>
            <w:r w:rsidRPr="009A3C4C">
              <w:rPr>
                <w:rFonts w:asciiTheme="minorHAnsi" w:eastAsia="Times New Roman" w:hAnsiTheme="minorHAnsi" w:cstheme="minorHAnsi"/>
                <w:b/>
                <w:bCs/>
                <w:szCs w:val="24"/>
              </w:rPr>
              <w:t>7205.56</w:t>
            </w:r>
          </w:p>
        </w:tc>
        <w:tc>
          <w:tcPr>
            <w:tcW w:w="1290" w:type="dxa"/>
            <w:tcBorders>
              <w:top w:val="nil"/>
              <w:left w:val="nil"/>
              <w:bottom w:val="single" w:sz="4" w:space="0" w:color="auto"/>
              <w:right w:val="single" w:sz="4" w:space="0" w:color="auto"/>
            </w:tcBorders>
            <w:shd w:val="clear" w:color="auto" w:fill="auto"/>
            <w:noWrap/>
            <w:vAlign w:val="center"/>
            <w:hideMark/>
          </w:tcPr>
          <w:p w:rsidR="00DD71EF" w:rsidRPr="009A3C4C" w:rsidRDefault="00DD71EF" w:rsidP="00346E72">
            <w:pPr>
              <w:spacing w:after="0" w:line="240" w:lineRule="auto"/>
              <w:jc w:val="center"/>
              <w:rPr>
                <w:rFonts w:asciiTheme="minorHAnsi" w:eastAsia="Times New Roman" w:hAnsiTheme="minorHAnsi" w:cstheme="minorHAnsi"/>
                <w:b/>
                <w:bCs/>
                <w:szCs w:val="24"/>
              </w:rPr>
            </w:pPr>
            <w:r>
              <w:rPr>
                <w:rFonts w:asciiTheme="minorHAnsi" w:eastAsia="Times New Roman" w:hAnsiTheme="minorHAnsi" w:cstheme="minorHAnsi"/>
                <w:b/>
                <w:bCs/>
                <w:szCs w:val="24"/>
              </w:rPr>
              <w:t>1954.14</w:t>
            </w:r>
          </w:p>
        </w:tc>
        <w:tc>
          <w:tcPr>
            <w:tcW w:w="1828" w:type="dxa"/>
            <w:tcBorders>
              <w:top w:val="nil"/>
              <w:left w:val="nil"/>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jc w:val="center"/>
              <w:rPr>
                <w:rFonts w:asciiTheme="minorHAnsi" w:eastAsia="Times New Roman" w:hAnsiTheme="minorHAnsi" w:cstheme="minorHAnsi"/>
                <w:b/>
                <w:bCs/>
                <w:szCs w:val="24"/>
              </w:rPr>
            </w:pPr>
            <w:r w:rsidRPr="009A3C4C">
              <w:rPr>
                <w:rFonts w:asciiTheme="minorHAnsi" w:eastAsia="Times New Roman" w:hAnsiTheme="minorHAnsi" w:cstheme="minorHAnsi"/>
                <w:b/>
                <w:bCs/>
                <w:szCs w:val="24"/>
              </w:rPr>
              <w:t>-31%</w:t>
            </w:r>
          </w:p>
        </w:tc>
        <w:tc>
          <w:tcPr>
            <w:tcW w:w="1936" w:type="dxa"/>
            <w:tcBorders>
              <w:top w:val="nil"/>
              <w:left w:val="nil"/>
              <w:bottom w:val="single" w:sz="4" w:space="0" w:color="auto"/>
              <w:right w:val="single" w:sz="4" w:space="0" w:color="auto"/>
            </w:tcBorders>
            <w:shd w:val="clear" w:color="auto" w:fill="auto"/>
            <w:noWrap/>
            <w:vAlign w:val="bottom"/>
            <w:hideMark/>
          </w:tcPr>
          <w:p w:rsidR="00DD71EF" w:rsidRPr="009A3C4C" w:rsidRDefault="00DD71EF" w:rsidP="00346E72">
            <w:pPr>
              <w:spacing w:after="0" w:line="240" w:lineRule="auto"/>
              <w:jc w:val="center"/>
              <w:rPr>
                <w:rFonts w:asciiTheme="minorHAnsi" w:eastAsia="Times New Roman" w:hAnsiTheme="minorHAnsi" w:cstheme="minorHAnsi"/>
                <w:szCs w:val="24"/>
              </w:rPr>
            </w:pPr>
            <w:r w:rsidRPr="009A3C4C">
              <w:rPr>
                <w:rFonts w:asciiTheme="minorHAnsi" w:eastAsia="Times New Roman" w:hAnsiTheme="minorHAnsi" w:cstheme="minorHAnsi"/>
                <w:szCs w:val="24"/>
              </w:rPr>
              <w:t> </w:t>
            </w:r>
          </w:p>
        </w:tc>
      </w:tr>
    </w:tbl>
    <w:p w:rsidR="00DD71EF" w:rsidRPr="00115438" w:rsidRDefault="00DD71EF" w:rsidP="00DD71EF">
      <w:pPr>
        <w:jc w:val="both"/>
        <w:rPr>
          <w:rFonts w:asciiTheme="minorHAnsi" w:hAnsiTheme="minorHAnsi" w:cstheme="minorHAnsi"/>
          <w:sz w:val="16"/>
          <w:szCs w:val="16"/>
        </w:rPr>
      </w:pPr>
      <w:r>
        <w:rPr>
          <w:rFonts w:asciiTheme="minorHAnsi" w:hAnsiTheme="minorHAnsi" w:cstheme="minorHAnsi"/>
          <w:sz w:val="16"/>
          <w:szCs w:val="16"/>
        </w:rPr>
        <w:t xml:space="preserve">Note: Actual Capex for </w:t>
      </w:r>
      <w:r w:rsidRPr="00115438">
        <w:rPr>
          <w:rFonts w:asciiTheme="minorHAnsi" w:hAnsiTheme="minorHAnsi" w:cstheme="minorHAnsi"/>
          <w:sz w:val="16"/>
          <w:szCs w:val="16"/>
        </w:rPr>
        <w:t>FY 2022-23</w:t>
      </w:r>
      <w:r>
        <w:rPr>
          <w:rFonts w:asciiTheme="minorHAnsi" w:hAnsiTheme="minorHAnsi" w:cstheme="minorHAnsi"/>
          <w:sz w:val="16"/>
          <w:szCs w:val="16"/>
        </w:rPr>
        <w:t xml:space="preserve"> is Provisional Figure.</w:t>
      </w:r>
    </w:p>
    <w:p w:rsidR="00DD71EF" w:rsidRPr="009A3C4C" w:rsidRDefault="00DD71EF" w:rsidP="00DD71EF">
      <w:pPr>
        <w:pStyle w:val="ListParagraph"/>
        <w:numPr>
          <w:ilvl w:val="0"/>
          <w:numId w:val="21"/>
        </w:numPr>
        <w:jc w:val="both"/>
        <w:rPr>
          <w:rFonts w:asciiTheme="minorHAnsi" w:hAnsiTheme="minorHAnsi" w:cstheme="minorHAnsi"/>
          <w:szCs w:val="24"/>
        </w:rPr>
      </w:pPr>
      <w:r w:rsidRPr="009A3C4C">
        <w:rPr>
          <w:rFonts w:asciiTheme="minorHAnsi" w:hAnsiTheme="minorHAnsi" w:cstheme="minorHAnsi"/>
          <w:szCs w:val="24"/>
        </w:rPr>
        <w:t>It can be observed that the variation in the Filed capex against the Approved number for 4</w:t>
      </w:r>
      <w:r w:rsidRPr="009A3C4C">
        <w:rPr>
          <w:rFonts w:asciiTheme="minorHAnsi" w:hAnsiTheme="minorHAnsi" w:cstheme="minorHAnsi"/>
          <w:szCs w:val="24"/>
          <w:vertAlign w:val="superscript"/>
        </w:rPr>
        <w:t>th</w:t>
      </w:r>
      <w:r w:rsidRPr="009A3C4C">
        <w:rPr>
          <w:rFonts w:asciiTheme="minorHAnsi" w:hAnsiTheme="minorHAnsi" w:cstheme="minorHAnsi"/>
          <w:szCs w:val="24"/>
        </w:rPr>
        <w:t xml:space="preserve"> Control Period is 31%. Further, for FY 2019-20, FY 2020-21, FY 2021-22 &amp; FY 2022-23 the variation in actual expenditure incurred by DISCOM over the approved expenditure is -49%, -71%, -64% &amp; -67% respectively.</w:t>
      </w:r>
    </w:p>
    <w:p w:rsidR="00DD71EF" w:rsidRPr="00604281" w:rsidRDefault="00DD71EF" w:rsidP="00DD71EF">
      <w:pPr>
        <w:pStyle w:val="ListParagraph"/>
        <w:numPr>
          <w:ilvl w:val="0"/>
          <w:numId w:val="21"/>
        </w:numPr>
        <w:jc w:val="both"/>
        <w:rPr>
          <w:rFonts w:asciiTheme="minorHAnsi" w:hAnsiTheme="minorHAnsi" w:cstheme="minorHAnsi"/>
          <w:szCs w:val="24"/>
        </w:rPr>
      </w:pPr>
      <w:r w:rsidRPr="009A3C4C">
        <w:rPr>
          <w:rFonts w:asciiTheme="minorHAnsi" w:hAnsiTheme="minorHAnsi" w:cstheme="minorHAnsi"/>
          <w:szCs w:val="24"/>
        </w:rPr>
        <w:lastRenderedPageBreak/>
        <w:t xml:space="preserve">It can be ascertained from the data given above that the cumulative capex expenditure </w:t>
      </w:r>
      <w:r w:rsidRPr="00604281">
        <w:rPr>
          <w:rFonts w:asciiTheme="minorHAnsi" w:hAnsiTheme="minorHAnsi" w:cstheme="minorHAnsi"/>
          <w:szCs w:val="24"/>
        </w:rPr>
        <w:t>in first four financial year of 4</w:t>
      </w:r>
      <w:r w:rsidRPr="00604281">
        <w:rPr>
          <w:rFonts w:asciiTheme="minorHAnsi" w:hAnsiTheme="minorHAnsi" w:cstheme="minorHAnsi"/>
          <w:szCs w:val="24"/>
          <w:vertAlign w:val="superscript"/>
        </w:rPr>
        <w:t>th</w:t>
      </w:r>
      <w:r w:rsidRPr="00604281">
        <w:rPr>
          <w:rFonts w:asciiTheme="minorHAnsi" w:hAnsiTheme="minorHAnsi" w:cstheme="minorHAnsi"/>
          <w:szCs w:val="24"/>
        </w:rPr>
        <w:t xml:space="preserve"> CP against the approved capex is almost 36%. </w:t>
      </w:r>
    </w:p>
    <w:p w:rsidR="00DD71EF" w:rsidRPr="00604281" w:rsidRDefault="00DD71EF" w:rsidP="00DD71EF">
      <w:pPr>
        <w:pStyle w:val="ListParagraph"/>
        <w:numPr>
          <w:ilvl w:val="0"/>
          <w:numId w:val="21"/>
        </w:numPr>
        <w:jc w:val="both"/>
        <w:rPr>
          <w:rFonts w:asciiTheme="minorHAnsi" w:hAnsiTheme="minorHAnsi" w:cstheme="minorHAnsi"/>
          <w:szCs w:val="24"/>
        </w:rPr>
      </w:pPr>
      <w:r w:rsidRPr="00604281">
        <w:rPr>
          <w:rFonts w:asciiTheme="minorHAnsi" w:hAnsiTheme="minorHAnsi" w:cstheme="minorHAnsi"/>
          <w:szCs w:val="24"/>
        </w:rPr>
        <w:t>TSNPDCL in current FY i.e., FY 2023-24 has already incurred approx. 300.28 Crore till the month of August 2023. The Expenditure in current financial year is expected to be much higher than previous years.</w:t>
      </w:r>
    </w:p>
    <w:p w:rsidR="00DD71EF" w:rsidRPr="00604281" w:rsidRDefault="00DD71EF" w:rsidP="00DD71EF">
      <w:pPr>
        <w:pStyle w:val="ListParagraph"/>
        <w:numPr>
          <w:ilvl w:val="0"/>
          <w:numId w:val="21"/>
        </w:numPr>
        <w:jc w:val="both"/>
        <w:rPr>
          <w:rFonts w:asciiTheme="minorHAnsi" w:hAnsiTheme="minorHAnsi" w:cstheme="minorHAnsi"/>
          <w:szCs w:val="24"/>
        </w:rPr>
      </w:pPr>
      <w:r w:rsidRPr="00604281">
        <w:rPr>
          <w:rFonts w:asciiTheme="minorHAnsi" w:hAnsiTheme="minorHAnsi" w:cstheme="minorHAnsi"/>
          <w:szCs w:val="24"/>
        </w:rPr>
        <w:t>The reduction in expenditure in FY 2020-21 &amp; FY 2021-22 is mostly due to the impact of Covid-19 and consequent lockdowns imposed across the country. The Pandemic had widespread impact on the availability of skilled/unskilled labor and supply chain affecting the progress of existing work and further initiation of new projects.</w:t>
      </w:r>
    </w:p>
    <w:p w:rsidR="00DD71EF" w:rsidRPr="00604281" w:rsidRDefault="00DD71EF" w:rsidP="00DD71EF">
      <w:pPr>
        <w:pStyle w:val="ListParagraph"/>
        <w:numPr>
          <w:ilvl w:val="0"/>
          <w:numId w:val="21"/>
        </w:numPr>
        <w:jc w:val="both"/>
        <w:rPr>
          <w:rFonts w:asciiTheme="minorHAnsi" w:hAnsiTheme="minorHAnsi" w:cstheme="minorHAnsi"/>
          <w:szCs w:val="24"/>
        </w:rPr>
      </w:pPr>
      <w:r w:rsidRPr="00604281">
        <w:rPr>
          <w:rFonts w:asciiTheme="minorHAnsi" w:hAnsiTheme="minorHAnsi" w:cstheme="minorHAnsi"/>
          <w:szCs w:val="24"/>
        </w:rPr>
        <w:t>Also, TSNPDCL expected investment through RDSS scheme from FY 2021-22 to FY 2024-25 but since the RDSS scheme is yet to be approved by DRC, the estimated investment under the scheme did not materialize. Most of the important works like AGL feeder segregation, Loss reduction, DTR Metering, Technological upgradation etc. were covered under the DPR of RDSS and the DISCOM expected these expenditures in the 4</w:t>
      </w:r>
      <w:r w:rsidRPr="00604281">
        <w:rPr>
          <w:rFonts w:asciiTheme="minorHAnsi" w:hAnsiTheme="minorHAnsi" w:cstheme="minorHAnsi"/>
          <w:szCs w:val="24"/>
          <w:vertAlign w:val="superscript"/>
        </w:rPr>
        <w:t>th</w:t>
      </w:r>
      <w:r w:rsidRPr="00604281">
        <w:rPr>
          <w:rFonts w:asciiTheme="minorHAnsi" w:hAnsiTheme="minorHAnsi" w:cstheme="minorHAnsi"/>
          <w:szCs w:val="24"/>
        </w:rPr>
        <w:t xml:space="preserve"> CP.</w:t>
      </w:r>
    </w:p>
    <w:p w:rsidR="00DD71EF" w:rsidRPr="009A3C4C" w:rsidRDefault="00DD71EF" w:rsidP="00DD71EF">
      <w:pPr>
        <w:jc w:val="both"/>
        <w:rPr>
          <w:rFonts w:asciiTheme="minorHAnsi" w:hAnsiTheme="minorHAnsi" w:cstheme="minorHAnsi"/>
          <w:szCs w:val="24"/>
        </w:rPr>
      </w:pPr>
      <w:r w:rsidRPr="009A3C4C">
        <w:rPr>
          <w:rFonts w:asciiTheme="minorHAnsi" w:hAnsiTheme="minorHAnsi" w:cstheme="minorHAnsi"/>
          <w:szCs w:val="24"/>
        </w:rPr>
        <w:t>It is to be noted that the actual capital expenditure done by DISCOM depends on number of factors, some of which are beyond the control of the DISCOM, apart from the planning based on existing network situation, present network loading, projected future loads, loss reduction measures, reliability improvement measures etc.</w:t>
      </w:r>
    </w:p>
    <w:p w:rsidR="00DD71EF" w:rsidRPr="009A3C4C" w:rsidRDefault="00DD71EF" w:rsidP="00DD71EF">
      <w:pPr>
        <w:jc w:val="both"/>
        <w:rPr>
          <w:rFonts w:asciiTheme="minorHAnsi" w:hAnsiTheme="minorHAnsi" w:cstheme="minorHAnsi"/>
          <w:szCs w:val="24"/>
        </w:rPr>
      </w:pPr>
      <w:r w:rsidRPr="009A3C4C">
        <w:rPr>
          <w:rFonts w:asciiTheme="minorHAnsi" w:hAnsiTheme="minorHAnsi" w:cstheme="minorHAnsi"/>
          <w:szCs w:val="24"/>
        </w:rPr>
        <w:t>The liquidity available with the DISCOM and funding from PFC/REC also plays a major role in the execution of planned capex which are beyond the control of DISCOM and is influenced by several external factor including the financial health of the Company.</w:t>
      </w:r>
    </w:p>
    <w:p w:rsidR="00DD71EF" w:rsidRPr="009A3C4C" w:rsidRDefault="00DD71EF" w:rsidP="00DD71EF">
      <w:pPr>
        <w:jc w:val="both"/>
        <w:rPr>
          <w:rFonts w:asciiTheme="minorHAnsi" w:hAnsiTheme="minorHAnsi" w:cstheme="minorHAnsi"/>
          <w:szCs w:val="24"/>
        </w:rPr>
      </w:pPr>
      <w:r w:rsidRPr="009A3C4C">
        <w:rPr>
          <w:rFonts w:asciiTheme="minorHAnsi" w:hAnsiTheme="minorHAnsi" w:cstheme="minorHAnsi"/>
          <w:szCs w:val="24"/>
        </w:rPr>
        <w:t>Adoption of new technologies for monitoring of the network, providing quality &amp; reliable power supply, prompt service to the customers also depend to a large extent on the availability of fund for investment.</w:t>
      </w:r>
    </w:p>
    <w:p w:rsidR="00DD71EF" w:rsidRPr="009A3C4C" w:rsidRDefault="00DD71EF" w:rsidP="00DD71EF">
      <w:pPr>
        <w:spacing w:after="0"/>
        <w:jc w:val="both"/>
        <w:rPr>
          <w:rFonts w:asciiTheme="minorHAnsi" w:hAnsiTheme="minorHAnsi" w:cstheme="minorHAnsi"/>
          <w:szCs w:val="24"/>
        </w:rPr>
      </w:pPr>
      <w:r w:rsidRPr="009A3C4C">
        <w:rPr>
          <w:rFonts w:asciiTheme="minorHAnsi" w:hAnsiTheme="minorHAnsi" w:cstheme="minorHAnsi"/>
          <w:szCs w:val="24"/>
        </w:rPr>
        <w:t>The expenditure after the approval of the Hon’ble commission is planned and executed by DISCOM in a phased manner and this process automatically considers any variation, if expected in projected loads.</w:t>
      </w:r>
    </w:p>
    <w:p w:rsidR="00DD71EF" w:rsidRPr="009A3C4C" w:rsidRDefault="00DD71EF" w:rsidP="00DD71EF">
      <w:pPr>
        <w:spacing w:after="0"/>
        <w:jc w:val="both"/>
        <w:rPr>
          <w:rFonts w:asciiTheme="minorHAnsi" w:hAnsiTheme="minorHAnsi" w:cstheme="minorHAnsi"/>
          <w:szCs w:val="24"/>
        </w:rPr>
      </w:pPr>
      <w:r w:rsidRPr="009A3C4C">
        <w:rPr>
          <w:rFonts w:asciiTheme="minorHAnsi" w:hAnsiTheme="minorHAnsi" w:cstheme="minorHAnsi"/>
          <w:szCs w:val="24"/>
        </w:rPr>
        <w:t>The capital expenditure claimed in 4</w:t>
      </w:r>
      <w:r w:rsidRPr="009A3C4C">
        <w:rPr>
          <w:rFonts w:asciiTheme="minorHAnsi" w:hAnsiTheme="minorHAnsi" w:cstheme="minorHAnsi"/>
          <w:szCs w:val="24"/>
          <w:vertAlign w:val="superscript"/>
        </w:rPr>
        <w:t>th</w:t>
      </w:r>
      <w:r w:rsidRPr="009A3C4C">
        <w:rPr>
          <w:rFonts w:asciiTheme="minorHAnsi" w:hAnsiTheme="minorHAnsi" w:cstheme="minorHAnsi"/>
          <w:szCs w:val="24"/>
        </w:rPr>
        <w:t xml:space="preserve"> CP was based on planning as per the same methodology as has been considered in the Resource Plan petition for 5</w:t>
      </w:r>
      <w:r w:rsidRPr="009A3C4C">
        <w:rPr>
          <w:rFonts w:asciiTheme="minorHAnsi" w:hAnsiTheme="minorHAnsi" w:cstheme="minorHAnsi"/>
          <w:szCs w:val="24"/>
          <w:vertAlign w:val="superscript"/>
        </w:rPr>
        <w:t>th</w:t>
      </w:r>
      <w:r w:rsidRPr="009A3C4C">
        <w:rPr>
          <w:rFonts w:asciiTheme="minorHAnsi" w:hAnsiTheme="minorHAnsi" w:cstheme="minorHAnsi"/>
          <w:szCs w:val="24"/>
        </w:rPr>
        <w:t xml:space="preserve"> &amp; 6</w:t>
      </w:r>
      <w:r w:rsidRPr="009A3C4C">
        <w:rPr>
          <w:rFonts w:asciiTheme="minorHAnsi" w:hAnsiTheme="minorHAnsi" w:cstheme="minorHAnsi"/>
          <w:szCs w:val="24"/>
          <w:vertAlign w:val="superscript"/>
        </w:rPr>
        <w:t>th</w:t>
      </w:r>
      <w:r w:rsidRPr="009A3C4C">
        <w:rPr>
          <w:rFonts w:asciiTheme="minorHAnsi" w:hAnsiTheme="minorHAnsi" w:cstheme="minorHAnsi"/>
          <w:szCs w:val="24"/>
        </w:rPr>
        <w:t xml:space="preserve"> CP.</w:t>
      </w:r>
    </w:p>
    <w:p w:rsidR="00DD71EF" w:rsidRDefault="00DD71EF" w:rsidP="00DD71EF">
      <w:pPr>
        <w:rPr>
          <w:rFonts w:asciiTheme="minorHAnsi" w:hAnsiTheme="minorHAnsi" w:cstheme="minorHAnsi"/>
        </w:rPr>
      </w:pPr>
    </w:p>
    <w:p w:rsidR="00DD71EF" w:rsidRDefault="00DD71EF" w:rsidP="00DD71EF">
      <w:pPr>
        <w:pStyle w:val="ListParagraph"/>
        <w:numPr>
          <w:ilvl w:val="0"/>
          <w:numId w:val="19"/>
        </w:numPr>
        <w:tabs>
          <w:tab w:val="left" w:pos="270"/>
        </w:tabs>
        <w:ind w:left="270" w:hanging="270"/>
        <w:jc w:val="both"/>
        <w:rPr>
          <w:rFonts w:asciiTheme="minorHAnsi" w:hAnsiTheme="minorHAnsi" w:cstheme="minorHAnsi"/>
          <w:b/>
          <w:bCs/>
          <w:szCs w:val="24"/>
        </w:rPr>
      </w:pPr>
      <w:r w:rsidRPr="009A3C4C">
        <w:rPr>
          <w:rFonts w:asciiTheme="minorHAnsi" w:hAnsiTheme="minorHAnsi" w:cstheme="minorHAnsi"/>
          <w:b/>
          <w:bCs/>
          <w:szCs w:val="24"/>
        </w:rPr>
        <w:t>Impacts of Capex in 4</w:t>
      </w:r>
      <w:r w:rsidRPr="009A3C4C">
        <w:rPr>
          <w:rFonts w:asciiTheme="minorHAnsi" w:hAnsiTheme="minorHAnsi" w:cstheme="minorHAnsi"/>
          <w:b/>
          <w:bCs/>
          <w:szCs w:val="24"/>
          <w:vertAlign w:val="superscript"/>
        </w:rPr>
        <w:t>th</w:t>
      </w:r>
      <w:r w:rsidRPr="009A3C4C">
        <w:rPr>
          <w:rFonts w:asciiTheme="minorHAnsi" w:hAnsiTheme="minorHAnsi" w:cstheme="minorHAnsi"/>
          <w:b/>
          <w:bCs/>
          <w:szCs w:val="24"/>
        </w:rPr>
        <w:t xml:space="preserve"> CP:</w:t>
      </w:r>
    </w:p>
    <w:p w:rsidR="00DD71EF" w:rsidRPr="009A3C4C" w:rsidRDefault="00DD71EF" w:rsidP="00DD71EF">
      <w:pPr>
        <w:pStyle w:val="ListParagraph"/>
        <w:tabs>
          <w:tab w:val="left" w:pos="270"/>
        </w:tabs>
        <w:ind w:left="270"/>
        <w:jc w:val="both"/>
        <w:rPr>
          <w:rFonts w:asciiTheme="minorHAnsi" w:hAnsiTheme="minorHAnsi" w:cstheme="minorHAnsi"/>
          <w:b/>
          <w:bCs/>
          <w:szCs w:val="24"/>
        </w:rPr>
      </w:pPr>
    </w:p>
    <w:p w:rsidR="00DD71EF" w:rsidRDefault="00DD71EF" w:rsidP="00DD71EF">
      <w:pPr>
        <w:pStyle w:val="ListParagraph"/>
        <w:numPr>
          <w:ilvl w:val="0"/>
          <w:numId w:val="23"/>
        </w:numPr>
        <w:jc w:val="both"/>
        <w:rPr>
          <w:rFonts w:asciiTheme="minorHAnsi" w:hAnsiTheme="minorHAnsi" w:cstheme="minorHAnsi"/>
          <w:szCs w:val="24"/>
        </w:rPr>
      </w:pPr>
      <w:r w:rsidRPr="00DD71EF">
        <w:rPr>
          <w:rFonts w:asciiTheme="minorHAnsi" w:hAnsiTheme="minorHAnsi" w:cstheme="minorHAnsi"/>
          <w:szCs w:val="24"/>
        </w:rPr>
        <w:t>The expenditure done by TSNPDCL in 4th CP reflects the network strengthening work done for extending 24 hours power supply to agricultural consumers as per the policy of the state govt.</w:t>
      </w:r>
    </w:p>
    <w:p w:rsidR="00DD71EF" w:rsidRDefault="00DD71EF" w:rsidP="00DD71EF">
      <w:pPr>
        <w:pStyle w:val="ListParagraph"/>
        <w:numPr>
          <w:ilvl w:val="0"/>
          <w:numId w:val="23"/>
        </w:numPr>
        <w:jc w:val="both"/>
        <w:rPr>
          <w:rFonts w:asciiTheme="minorHAnsi" w:hAnsiTheme="minorHAnsi" w:cstheme="minorHAnsi"/>
          <w:szCs w:val="24"/>
        </w:rPr>
      </w:pPr>
      <w:r w:rsidRPr="00DD71EF">
        <w:rPr>
          <w:rFonts w:asciiTheme="minorHAnsi" w:hAnsiTheme="minorHAnsi" w:cstheme="minorHAnsi"/>
          <w:szCs w:val="24"/>
        </w:rPr>
        <w:lastRenderedPageBreak/>
        <w:t>There has been considerable reduction in AT&amp;C Loss of the DISCOM over the 4</w:t>
      </w:r>
      <w:r w:rsidRPr="00DD71EF">
        <w:rPr>
          <w:rFonts w:asciiTheme="minorHAnsi" w:hAnsiTheme="minorHAnsi" w:cstheme="minorHAnsi"/>
          <w:szCs w:val="24"/>
          <w:vertAlign w:val="superscript"/>
        </w:rPr>
        <w:t>th</w:t>
      </w:r>
      <w:r w:rsidRPr="00DD71EF">
        <w:rPr>
          <w:rFonts w:asciiTheme="minorHAnsi" w:hAnsiTheme="minorHAnsi" w:cstheme="minorHAnsi"/>
          <w:szCs w:val="24"/>
        </w:rPr>
        <w:t xml:space="preserve"> CP i.e., from 36.34% in FY 2019-20 to 13.11% in FY 2021-22 &amp; 22.44% in FY 2022-23 due to considerable improvement in billing efficiency and collection efficiency over 4</w:t>
      </w:r>
      <w:r w:rsidRPr="00DD71EF">
        <w:rPr>
          <w:rFonts w:asciiTheme="minorHAnsi" w:hAnsiTheme="minorHAnsi" w:cstheme="minorHAnsi"/>
          <w:szCs w:val="24"/>
          <w:vertAlign w:val="superscript"/>
        </w:rPr>
        <w:t>th</w:t>
      </w:r>
      <w:r w:rsidRPr="00DD71EF">
        <w:rPr>
          <w:rFonts w:asciiTheme="minorHAnsi" w:hAnsiTheme="minorHAnsi" w:cstheme="minorHAnsi"/>
          <w:szCs w:val="24"/>
        </w:rPr>
        <w:t xml:space="preserve"> CP.</w:t>
      </w:r>
    </w:p>
    <w:p w:rsidR="00DD71EF" w:rsidRPr="00604281" w:rsidRDefault="00DD71EF" w:rsidP="00DD71EF">
      <w:pPr>
        <w:pStyle w:val="ListParagraph"/>
        <w:numPr>
          <w:ilvl w:val="0"/>
          <w:numId w:val="23"/>
        </w:numPr>
        <w:jc w:val="both"/>
        <w:rPr>
          <w:rFonts w:asciiTheme="minorHAnsi" w:hAnsiTheme="minorHAnsi" w:cstheme="minorHAnsi"/>
          <w:szCs w:val="24"/>
        </w:rPr>
      </w:pPr>
      <w:r w:rsidRPr="00DD71EF">
        <w:rPr>
          <w:rFonts w:asciiTheme="minorHAnsi" w:hAnsiTheme="minorHAnsi" w:cstheme="minorHAnsi"/>
          <w:szCs w:val="24"/>
        </w:rPr>
        <w:t xml:space="preserve">The average hours of supply in rural and urban areas have improved and is at 23:50 Hrs. </w:t>
      </w:r>
      <w:r w:rsidRPr="00604281">
        <w:rPr>
          <w:rFonts w:asciiTheme="minorHAnsi" w:hAnsiTheme="minorHAnsi" w:cstheme="minorHAnsi"/>
          <w:szCs w:val="24"/>
        </w:rPr>
        <w:t>in FY 2022-23.</w:t>
      </w:r>
    </w:p>
    <w:p w:rsidR="00DD71EF" w:rsidRPr="00604281" w:rsidRDefault="00DD71EF" w:rsidP="00DD71EF">
      <w:pPr>
        <w:pStyle w:val="ListParagraph"/>
        <w:numPr>
          <w:ilvl w:val="0"/>
          <w:numId w:val="23"/>
        </w:numPr>
        <w:jc w:val="both"/>
        <w:rPr>
          <w:rFonts w:asciiTheme="minorHAnsi" w:hAnsiTheme="minorHAnsi" w:cstheme="minorHAnsi"/>
          <w:szCs w:val="24"/>
        </w:rPr>
      </w:pPr>
      <w:r w:rsidRPr="00604281">
        <w:rPr>
          <w:rFonts w:asciiTheme="minorHAnsi" w:hAnsiTheme="minorHAnsi" w:cstheme="minorHAnsi"/>
          <w:szCs w:val="24"/>
        </w:rPr>
        <w:t>Reliability Index like SAIFI has improved over the 4</w:t>
      </w:r>
      <w:r w:rsidRPr="00604281">
        <w:rPr>
          <w:rFonts w:asciiTheme="minorHAnsi" w:hAnsiTheme="minorHAnsi" w:cstheme="minorHAnsi"/>
          <w:szCs w:val="24"/>
          <w:vertAlign w:val="superscript"/>
        </w:rPr>
        <w:t>th</w:t>
      </w:r>
      <w:r w:rsidRPr="00604281">
        <w:rPr>
          <w:rFonts w:asciiTheme="minorHAnsi" w:hAnsiTheme="minorHAnsi" w:cstheme="minorHAnsi"/>
          <w:szCs w:val="24"/>
        </w:rPr>
        <w:t xml:space="preserve"> CP and is at 43 in FY 2022-23. SAIDI has been maintained at a consistent level and has a decreasing trend till FY 2021-22.</w:t>
      </w:r>
    </w:p>
    <w:p w:rsidR="00DD71EF" w:rsidRPr="00604281" w:rsidRDefault="00DD71EF" w:rsidP="00DD71EF">
      <w:pPr>
        <w:pStyle w:val="ListParagraph"/>
        <w:numPr>
          <w:ilvl w:val="0"/>
          <w:numId w:val="23"/>
        </w:numPr>
        <w:jc w:val="both"/>
        <w:rPr>
          <w:rFonts w:asciiTheme="minorHAnsi" w:hAnsiTheme="minorHAnsi" w:cstheme="minorHAnsi"/>
          <w:szCs w:val="24"/>
        </w:rPr>
      </w:pPr>
      <w:r w:rsidRPr="00604281">
        <w:rPr>
          <w:rFonts w:asciiTheme="minorHAnsi" w:hAnsiTheme="minorHAnsi" w:cstheme="minorHAnsi"/>
          <w:szCs w:val="24"/>
        </w:rPr>
        <w:t>The Customer service has been digitized with 100% new connections being released through online system. The integration of necessary IT/OT systems has improved customer services to a great extent and facilitated DISCOM in extending its services digitally without manual intervention. Such technological intervention has allowed the DISCOM to reduce new connection application processing time to an average of 1.9 days in urban areas and 4.2 days in rural areas. Outage alerts are being sent to the consumers on regular basis and almost 100% consumer complaints are being registered through 24X7 customer Call center.</w:t>
      </w:r>
    </w:p>
    <w:p w:rsidR="00DD71EF" w:rsidRPr="00DD71EF" w:rsidRDefault="00DD71EF" w:rsidP="00DD71EF">
      <w:pPr>
        <w:pStyle w:val="ListParagraph"/>
        <w:numPr>
          <w:ilvl w:val="0"/>
          <w:numId w:val="23"/>
        </w:numPr>
        <w:jc w:val="both"/>
        <w:rPr>
          <w:rFonts w:asciiTheme="minorHAnsi" w:hAnsiTheme="minorHAnsi" w:cstheme="minorHAnsi"/>
          <w:szCs w:val="24"/>
        </w:rPr>
      </w:pPr>
      <w:r w:rsidRPr="00604281">
        <w:rPr>
          <w:rFonts w:asciiTheme="minorHAnsi" w:hAnsiTheme="minorHAnsi" w:cstheme="minorHAnsi"/>
          <w:szCs w:val="24"/>
        </w:rPr>
        <w:t>The DT failure rate has also come down from 11.16% to 9.80% from FY</w:t>
      </w:r>
      <w:r w:rsidRPr="00DD71EF">
        <w:rPr>
          <w:rFonts w:asciiTheme="minorHAnsi" w:hAnsiTheme="minorHAnsi" w:cstheme="minorHAnsi"/>
          <w:szCs w:val="24"/>
        </w:rPr>
        <w:t xml:space="preserve"> 2019-20 to FY 2022-23. </w:t>
      </w:r>
    </w:p>
    <w:p w:rsidR="00DD71EF" w:rsidRDefault="00DD71EF" w:rsidP="00DD71EF">
      <w:pPr>
        <w:rPr>
          <w:rFonts w:asciiTheme="minorHAnsi" w:hAnsiTheme="minorHAnsi" w:cstheme="minorHAnsi"/>
        </w:rPr>
      </w:pPr>
    </w:p>
    <w:p w:rsidR="00DD71EF" w:rsidRPr="009A3C4C" w:rsidRDefault="00DD71EF" w:rsidP="00DD71EF">
      <w:pPr>
        <w:pStyle w:val="ListParagraph"/>
        <w:numPr>
          <w:ilvl w:val="0"/>
          <w:numId w:val="19"/>
        </w:numPr>
        <w:tabs>
          <w:tab w:val="left" w:pos="270"/>
        </w:tabs>
        <w:ind w:left="270" w:hanging="270"/>
        <w:jc w:val="both"/>
        <w:rPr>
          <w:rFonts w:asciiTheme="minorHAnsi" w:hAnsiTheme="minorHAnsi" w:cstheme="minorHAnsi"/>
          <w:b/>
          <w:bCs/>
          <w:szCs w:val="24"/>
        </w:rPr>
      </w:pPr>
      <w:r w:rsidRPr="009A3C4C">
        <w:rPr>
          <w:rFonts w:asciiTheme="minorHAnsi" w:hAnsiTheme="minorHAnsi" w:cstheme="minorHAnsi"/>
          <w:b/>
          <w:bCs/>
          <w:szCs w:val="24"/>
        </w:rPr>
        <w:t>AT &amp; C Loss:</w:t>
      </w:r>
    </w:p>
    <w:p w:rsidR="00DD71EF" w:rsidRPr="00DD71EF" w:rsidRDefault="00DD71EF" w:rsidP="00DD71EF">
      <w:pPr>
        <w:jc w:val="center"/>
        <w:rPr>
          <w:rFonts w:asciiTheme="minorHAnsi" w:hAnsiTheme="minorHAnsi" w:cstheme="minorHAnsi"/>
        </w:rPr>
      </w:pPr>
      <w:r w:rsidRPr="009A3C4C">
        <w:rPr>
          <w:rFonts w:asciiTheme="minorHAnsi" w:hAnsiTheme="minorHAnsi" w:cstheme="minorHAnsi"/>
          <w:noProof/>
          <w:szCs w:val="24"/>
        </w:rPr>
        <w:drawing>
          <wp:inline distT="0" distB="0" distL="0" distR="0">
            <wp:extent cx="5574030" cy="2946400"/>
            <wp:effectExtent l="0" t="0" r="0" b="0"/>
            <wp:docPr id="11" name="Chart 1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F39CC6BD-2893-4B7B-A8DE-862F89A7C9C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D71EF" w:rsidRDefault="00DD71EF" w:rsidP="00DD71EF">
      <w:pPr>
        <w:pStyle w:val="ListParagraph"/>
        <w:tabs>
          <w:tab w:val="left" w:pos="270"/>
        </w:tabs>
        <w:ind w:left="270"/>
        <w:jc w:val="both"/>
        <w:rPr>
          <w:rFonts w:asciiTheme="minorHAnsi" w:hAnsiTheme="minorHAnsi" w:cstheme="minorHAnsi"/>
          <w:szCs w:val="24"/>
        </w:rPr>
      </w:pPr>
      <w:r w:rsidRPr="009A3C4C">
        <w:rPr>
          <w:rFonts w:asciiTheme="minorHAnsi" w:hAnsiTheme="minorHAnsi" w:cstheme="minorHAnsi"/>
          <w:szCs w:val="24"/>
        </w:rPr>
        <w:t>High AT&amp;C Loss in FY 2022-23 is due to low collection efficiency on account of Govt. receivables.</w:t>
      </w:r>
    </w:p>
    <w:p w:rsidR="00DD71EF" w:rsidRPr="00DD71EF" w:rsidRDefault="00DD71EF" w:rsidP="00DD71EF">
      <w:pPr>
        <w:rPr>
          <w:rFonts w:asciiTheme="minorHAnsi" w:hAnsiTheme="minorHAnsi" w:cstheme="minorHAnsi"/>
        </w:rPr>
      </w:pPr>
    </w:p>
    <w:p w:rsidR="00DD71EF" w:rsidRPr="00DD71EF" w:rsidRDefault="00DD71EF" w:rsidP="00DD71EF">
      <w:pPr>
        <w:rPr>
          <w:rFonts w:asciiTheme="minorHAnsi" w:hAnsiTheme="minorHAnsi" w:cstheme="minorHAnsi"/>
        </w:rPr>
      </w:pPr>
    </w:p>
    <w:p w:rsidR="00DD71EF" w:rsidRPr="009A3C4C" w:rsidRDefault="00DD71EF" w:rsidP="00DD71EF">
      <w:pPr>
        <w:pStyle w:val="ListParagraph"/>
        <w:numPr>
          <w:ilvl w:val="0"/>
          <w:numId w:val="19"/>
        </w:numPr>
        <w:tabs>
          <w:tab w:val="left" w:pos="270"/>
        </w:tabs>
        <w:ind w:left="270" w:hanging="270"/>
        <w:jc w:val="both"/>
        <w:rPr>
          <w:rFonts w:asciiTheme="minorHAnsi" w:hAnsiTheme="minorHAnsi" w:cstheme="minorHAnsi"/>
          <w:b/>
          <w:bCs/>
          <w:szCs w:val="24"/>
        </w:rPr>
      </w:pPr>
      <w:r w:rsidRPr="009A3C4C">
        <w:rPr>
          <w:rFonts w:asciiTheme="minorHAnsi" w:hAnsiTheme="minorHAnsi" w:cstheme="minorHAnsi"/>
          <w:b/>
          <w:bCs/>
          <w:szCs w:val="24"/>
        </w:rPr>
        <w:lastRenderedPageBreak/>
        <w:t>T&amp;D Loss:</w:t>
      </w:r>
    </w:p>
    <w:p w:rsidR="00DD71EF" w:rsidRPr="00E11380" w:rsidRDefault="00DD71EF" w:rsidP="00604281">
      <w:pPr>
        <w:jc w:val="center"/>
        <w:rPr>
          <w:rFonts w:asciiTheme="minorHAnsi" w:hAnsiTheme="minorHAnsi" w:cstheme="minorHAnsi"/>
        </w:rPr>
      </w:pPr>
      <w:r w:rsidRPr="009A3C4C">
        <w:rPr>
          <w:rFonts w:asciiTheme="minorHAnsi" w:hAnsiTheme="minorHAnsi" w:cstheme="minorHAnsi"/>
          <w:noProof/>
          <w:szCs w:val="24"/>
        </w:rPr>
        <w:drawing>
          <wp:inline distT="0" distB="0" distL="0" distR="0">
            <wp:extent cx="5607050" cy="2940050"/>
            <wp:effectExtent l="0" t="0" r="0" b="0"/>
            <wp:docPr id="12" name="Chart 12">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5B6F2375-CB90-45CE-87B6-58BF377B9F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D71EF" w:rsidRDefault="00DD71EF" w:rsidP="00E11380">
      <w:pPr>
        <w:pStyle w:val="ListParagraph"/>
        <w:numPr>
          <w:ilvl w:val="0"/>
          <w:numId w:val="19"/>
        </w:numPr>
        <w:tabs>
          <w:tab w:val="left" w:pos="270"/>
        </w:tabs>
        <w:ind w:left="270" w:hanging="270"/>
        <w:jc w:val="both"/>
        <w:rPr>
          <w:rFonts w:asciiTheme="minorHAnsi" w:hAnsiTheme="minorHAnsi" w:cstheme="minorHAnsi"/>
          <w:b/>
          <w:bCs/>
          <w:szCs w:val="24"/>
        </w:rPr>
      </w:pPr>
      <w:r w:rsidRPr="009A3C4C">
        <w:rPr>
          <w:rFonts w:asciiTheme="minorHAnsi" w:hAnsiTheme="minorHAnsi" w:cstheme="minorHAnsi"/>
          <w:b/>
          <w:bCs/>
          <w:szCs w:val="24"/>
        </w:rPr>
        <w:t>SAIFI &amp; SAIDI:</w:t>
      </w:r>
    </w:p>
    <w:p w:rsidR="00DD71EF" w:rsidRPr="00DD71EF" w:rsidRDefault="00DD71EF" w:rsidP="00DD71EF">
      <w:pPr>
        <w:rPr>
          <w:rFonts w:asciiTheme="minorHAnsi" w:hAnsiTheme="minorHAnsi" w:cstheme="minorHAnsi"/>
        </w:rPr>
      </w:pPr>
      <w:r>
        <w:rPr>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304800</wp:posOffset>
            </wp:positionV>
            <wp:extent cx="5905500" cy="3403600"/>
            <wp:effectExtent l="0" t="0" r="0" b="6350"/>
            <wp:wrapSquare wrapText="bothSides"/>
            <wp:docPr id="8" name="Chart 8">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E3210037-EB32-4487-9C4A-4360E2EB1A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p>
    <w:p w:rsidR="00DD71EF" w:rsidRDefault="00DD71EF" w:rsidP="00DD71EF">
      <w:pPr>
        <w:rPr>
          <w:noProof/>
        </w:rPr>
      </w:pPr>
    </w:p>
    <w:p w:rsidR="00E11380" w:rsidRDefault="00E11380" w:rsidP="00DD71EF">
      <w:pPr>
        <w:rPr>
          <w:noProof/>
        </w:rPr>
      </w:pPr>
    </w:p>
    <w:p w:rsidR="00E11380" w:rsidRDefault="00E11380" w:rsidP="00DD71EF">
      <w:pPr>
        <w:rPr>
          <w:noProof/>
        </w:rPr>
      </w:pPr>
    </w:p>
    <w:p w:rsidR="00E11380" w:rsidRDefault="00E11380" w:rsidP="00DD71EF">
      <w:pPr>
        <w:rPr>
          <w:noProof/>
        </w:rPr>
      </w:pPr>
      <w:r>
        <w:rPr>
          <w:noProof/>
        </w:rPr>
        <w:lastRenderedPageBreak/>
        <w:drawing>
          <wp:anchor distT="0" distB="0" distL="114300" distR="114300" simplePos="0" relativeHeight="251667456" behindDoc="0" locked="0" layoutInCell="1" allowOverlap="1">
            <wp:simplePos x="0" y="0"/>
            <wp:positionH relativeFrom="margin">
              <wp:posOffset>0</wp:posOffset>
            </wp:positionH>
            <wp:positionV relativeFrom="paragraph">
              <wp:posOffset>304800</wp:posOffset>
            </wp:positionV>
            <wp:extent cx="5937250" cy="3346450"/>
            <wp:effectExtent l="0" t="0" r="6350" b="6350"/>
            <wp:wrapSquare wrapText="bothSides"/>
            <wp:docPr id="13" name="Chart 13">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368A0B9-B96C-4835-8194-EF9ACB1059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rsidR="00E11380" w:rsidRDefault="00E11380" w:rsidP="00DD71EF">
      <w:pPr>
        <w:rPr>
          <w:noProof/>
        </w:rPr>
      </w:pPr>
    </w:p>
    <w:p w:rsidR="00E11380" w:rsidRDefault="00E11380" w:rsidP="00DD71EF">
      <w:pPr>
        <w:rPr>
          <w:rFonts w:asciiTheme="minorHAnsi" w:hAnsiTheme="minorHAnsi" w:cstheme="minorHAnsi"/>
        </w:rPr>
      </w:pPr>
    </w:p>
    <w:p w:rsidR="00DD71EF" w:rsidRPr="009A3C4C" w:rsidRDefault="00DD71EF" w:rsidP="00DD71EF">
      <w:pPr>
        <w:pStyle w:val="ListParagraph"/>
        <w:numPr>
          <w:ilvl w:val="0"/>
          <w:numId w:val="19"/>
        </w:numPr>
        <w:tabs>
          <w:tab w:val="left" w:pos="270"/>
        </w:tabs>
        <w:ind w:left="270" w:hanging="270"/>
        <w:jc w:val="both"/>
        <w:rPr>
          <w:rFonts w:asciiTheme="minorHAnsi" w:hAnsiTheme="minorHAnsi" w:cstheme="minorHAnsi"/>
          <w:b/>
          <w:bCs/>
          <w:szCs w:val="24"/>
        </w:rPr>
      </w:pPr>
      <w:r w:rsidRPr="009A3C4C">
        <w:rPr>
          <w:rFonts w:asciiTheme="minorHAnsi" w:hAnsiTheme="minorHAnsi" w:cstheme="minorHAnsi"/>
          <w:b/>
          <w:bCs/>
          <w:szCs w:val="24"/>
        </w:rPr>
        <w:t>Average Hours of Supply:</w:t>
      </w:r>
    </w:p>
    <w:p w:rsidR="00DD71EF" w:rsidRDefault="00DD71EF" w:rsidP="00DD71EF">
      <w:pPr>
        <w:rPr>
          <w:rFonts w:asciiTheme="minorHAnsi" w:hAnsiTheme="minorHAnsi" w:cstheme="minorHAnsi"/>
        </w:rPr>
      </w:pPr>
    </w:p>
    <w:p w:rsidR="00DD71EF" w:rsidRPr="00DD71EF" w:rsidRDefault="00DD71EF" w:rsidP="00604281">
      <w:pPr>
        <w:jc w:val="center"/>
        <w:rPr>
          <w:rFonts w:asciiTheme="minorHAnsi" w:hAnsiTheme="minorHAnsi" w:cstheme="minorHAnsi"/>
        </w:rPr>
      </w:pPr>
      <w:r>
        <w:rPr>
          <w:noProof/>
        </w:rPr>
        <w:drawing>
          <wp:inline distT="0" distB="0" distL="0" distR="0">
            <wp:extent cx="5727700" cy="2933700"/>
            <wp:effectExtent l="0" t="0" r="6350" b="0"/>
            <wp:docPr id="14" name="Chart 14">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6D3C4411-5368-4514-B7EE-0070613557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D71EF" w:rsidRPr="00DD71EF" w:rsidRDefault="00DD71EF" w:rsidP="00DD71EF">
      <w:pPr>
        <w:rPr>
          <w:rFonts w:asciiTheme="minorHAnsi" w:hAnsiTheme="minorHAnsi" w:cstheme="minorHAnsi"/>
        </w:rPr>
      </w:pPr>
    </w:p>
    <w:p w:rsidR="00DD71EF" w:rsidRDefault="00DD71EF" w:rsidP="00DD71EF">
      <w:pPr>
        <w:rPr>
          <w:rFonts w:asciiTheme="minorHAnsi" w:hAnsiTheme="minorHAnsi" w:cstheme="minorHAnsi"/>
        </w:rPr>
      </w:pPr>
    </w:p>
    <w:p w:rsidR="00DD71EF" w:rsidRDefault="00DD71EF" w:rsidP="00E11380">
      <w:pPr>
        <w:pStyle w:val="ListParagraph"/>
        <w:numPr>
          <w:ilvl w:val="0"/>
          <w:numId w:val="19"/>
        </w:numPr>
        <w:tabs>
          <w:tab w:val="left" w:pos="270"/>
        </w:tabs>
        <w:ind w:left="270" w:hanging="270"/>
        <w:jc w:val="both"/>
        <w:rPr>
          <w:rFonts w:asciiTheme="minorHAnsi" w:hAnsiTheme="minorHAnsi" w:cstheme="minorHAnsi"/>
          <w:b/>
          <w:bCs/>
          <w:szCs w:val="24"/>
        </w:rPr>
      </w:pPr>
      <w:r w:rsidRPr="009A3C4C">
        <w:rPr>
          <w:rFonts w:asciiTheme="minorHAnsi" w:hAnsiTheme="minorHAnsi" w:cstheme="minorHAnsi"/>
          <w:b/>
          <w:bCs/>
          <w:szCs w:val="24"/>
        </w:rPr>
        <w:t>DTR Failure Rate:</w:t>
      </w:r>
    </w:p>
    <w:p w:rsidR="00DD71EF" w:rsidRDefault="00DD71EF" w:rsidP="00DD71EF">
      <w:pPr>
        <w:rPr>
          <w:rFonts w:asciiTheme="minorHAnsi" w:hAnsiTheme="minorHAnsi" w:cstheme="minorHAnsi"/>
        </w:rPr>
      </w:pPr>
      <w:r>
        <w:rPr>
          <w:noProof/>
        </w:rPr>
        <w:drawing>
          <wp:anchor distT="0" distB="0" distL="114300" distR="114300" simplePos="0" relativeHeight="251665408" behindDoc="0" locked="0" layoutInCell="1" allowOverlap="1">
            <wp:simplePos x="0" y="0"/>
            <wp:positionH relativeFrom="column">
              <wp:posOffset>0</wp:posOffset>
            </wp:positionH>
            <wp:positionV relativeFrom="paragraph">
              <wp:posOffset>304800</wp:posOffset>
            </wp:positionV>
            <wp:extent cx="5886450" cy="3175000"/>
            <wp:effectExtent l="0" t="0" r="0" b="6350"/>
            <wp:wrapSquare wrapText="bothSides"/>
            <wp:docPr id="15" name="Chart 15">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35B20C32-A572-47DC-89E1-08605A44FD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p>
    <w:p w:rsidR="00DD71EF" w:rsidRPr="00DD71EF" w:rsidRDefault="00DD71EF" w:rsidP="00DD71EF">
      <w:pPr>
        <w:rPr>
          <w:rFonts w:asciiTheme="minorHAnsi" w:hAnsiTheme="minorHAnsi" w:cstheme="minorHAnsi"/>
        </w:rPr>
      </w:pPr>
    </w:p>
    <w:sectPr w:rsidR="00DD71EF" w:rsidRPr="00DD71EF" w:rsidSect="007E59BC">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35F" w:rsidRDefault="00BD335F" w:rsidP="0047688B">
      <w:pPr>
        <w:spacing w:after="0" w:line="240" w:lineRule="auto"/>
      </w:pPr>
      <w:r>
        <w:separator/>
      </w:r>
    </w:p>
  </w:endnote>
  <w:endnote w:type="continuationSeparator" w:id="0">
    <w:p w:rsidR="00BD335F" w:rsidRDefault="00BD335F" w:rsidP="0047688B">
      <w:pPr>
        <w:spacing w:after="0" w:line="240" w:lineRule="auto"/>
      </w:pPr>
      <w:r>
        <w:continuationSeparator/>
      </w:r>
    </w:p>
  </w:endnote>
  <w:endnote w:type="continuationNotice" w:id="1">
    <w:p w:rsidR="00BD335F" w:rsidRDefault="00BD335F">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E72" w:rsidRDefault="00346E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6798628"/>
      <w:docPartObj>
        <w:docPartGallery w:val="Page Numbers (Bottom of Page)"/>
        <w:docPartUnique/>
      </w:docPartObj>
    </w:sdtPr>
    <w:sdtContent>
      <w:sdt>
        <w:sdtPr>
          <w:id w:val="1728636285"/>
          <w:docPartObj>
            <w:docPartGallery w:val="Page Numbers (Top of Page)"/>
            <w:docPartUnique/>
          </w:docPartObj>
        </w:sdtPr>
        <w:sdtContent>
          <w:p w:rsidR="00346E72" w:rsidRDefault="00346E72">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31</w:t>
            </w:r>
            <w:r>
              <w:rPr>
                <w:b/>
                <w:bCs/>
                <w:szCs w:val="24"/>
              </w:rPr>
              <w:fldChar w:fldCharType="end"/>
            </w:r>
          </w:p>
        </w:sdtContent>
      </w:sdt>
    </w:sdtContent>
  </w:sdt>
  <w:p w:rsidR="00346E72" w:rsidRDefault="00346E7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E72" w:rsidRDefault="00346E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35F" w:rsidRDefault="00BD335F" w:rsidP="0047688B">
      <w:pPr>
        <w:spacing w:after="0" w:line="240" w:lineRule="auto"/>
      </w:pPr>
      <w:r>
        <w:separator/>
      </w:r>
    </w:p>
  </w:footnote>
  <w:footnote w:type="continuationSeparator" w:id="0">
    <w:p w:rsidR="00BD335F" w:rsidRDefault="00BD335F" w:rsidP="0047688B">
      <w:pPr>
        <w:spacing w:after="0" w:line="240" w:lineRule="auto"/>
      </w:pPr>
      <w:r>
        <w:continuationSeparator/>
      </w:r>
    </w:p>
  </w:footnote>
  <w:footnote w:type="continuationNotice" w:id="1">
    <w:p w:rsidR="00BD335F" w:rsidRDefault="00BD335F">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E72" w:rsidRDefault="00346E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E72" w:rsidRDefault="00346E7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E72" w:rsidRDefault="00346E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0E87A4"/>
    <w:multiLevelType w:val="hybridMultilevel"/>
    <w:tmpl w:val="DED26F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847377"/>
    <w:multiLevelType w:val="hybridMultilevel"/>
    <w:tmpl w:val="6EF4EBDC"/>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2C15EBF"/>
    <w:multiLevelType w:val="hybridMultilevel"/>
    <w:tmpl w:val="00E011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0728D8"/>
    <w:multiLevelType w:val="hybridMultilevel"/>
    <w:tmpl w:val="F8BE22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134E0"/>
    <w:multiLevelType w:val="hybridMultilevel"/>
    <w:tmpl w:val="FBF2F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7DACEA"/>
    <w:multiLevelType w:val="hybridMultilevel"/>
    <w:tmpl w:val="0E5DCE7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630F9E7"/>
    <w:multiLevelType w:val="hybridMultilevel"/>
    <w:tmpl w:val="CF34050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E168845"/>
    <w:multiLevelType w:val="hybridMultilevel"/>
    <w:tmpl w:val="FD2A57C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23D3158"/>
    <w:multiLevelType w:val="hybridMultilevel"/>
    <w:tmpl w:val="C9E04330"/>
    <w:lvl w:ilvl="0" w:tplc="3A56816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23DD138C"/>
    <w:multiLevelType w:val="hybridMultilevel"/>
    <w:tmpl w:val="1930CBF8"/>
    <w:lvl w:ilvl="0" w:tplc="04090017">
      <w:start w:val="1"/>
      <w:numFmt w:val="lowerLetter"/>
      <w:lvlText w:val="%1)"/>
      <w:lvlJc w:val="left"/>
      <w:pPr>
        <w:ind w:left="833" w:hanging="360"/>
      </w:p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10">
    <w:nsid w:val="245208AC"/>
    <w:multiLevelType w:val="hybridMultilevel"/>
    <w:tmpl w:val="F7C615D4"/>
    <w:lvl w:ilvl="0" w:tplc="C7A21818">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796330"/>
    <w:multiLevelType w:val="hybridMultilevel"/>
    <w:tmpl w:val="FB0A42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126D8C"/>
    <w:multiLevelType w:val="hybridMultilevel"/>
    <w:tmpl w:val="6EF4EBD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D474B0"/>
    <w:multiLevelType w:val="hybridMultilevel"/>
    <w:tmpl w:val="AF26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E85877"/>
    <w:multiLevelType w:val="hybridMultilevel"/>
    <w:tmpl w:val="850C7C64"/>
    <w:lvl w:ilvl="0" w:tplc="FFFFFFFF">
      <w:start w:val="1"/>
      <w:numFmt w:val="lowerLetter"/>
      <w:lvlText w:val="%1."/>
      <w:lvlJc w:val="left"/>
      <w:pPr>
        <w:ind w:left="720" w:hanging="360"/>
      </w:pPr>
      <w:rPr>
        <w:rFonts w:asciiTheme="minorHAnsi" w:eastAsiaTheme="minorHAnsi" w:hAnsiTheme="minorHAnsi"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54EE77FD"/>
    <w:multiLevelType w:val="hybridMultilevel"/>
    <w:tmpl w:val="D110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9A5C55"/>
    <w:multiLevelType w:val="multilevel"/>
    <w:tmpl w:val="DACA0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090F48"/>
    <w:multiLevelType w:val="hybridMultilevel"/>
    <w:tmpl w:val="C9E04330"/>
    <w:lvl w:ilvl="0" w:tplc="FFFFFFFF">
      <w:start w:val="1"/>
      <w:numFmt w:val="lowerLetter"/>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8">
    <w:nsid w:val="644C01F7"/>
    <w:multiLevelType w:val="hybridMultilevel"/>
    <w:tmpl w:val="FB2E9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037E4F"/>
    <w:multiLevelType w:val="hybridMultilevel"/>
    <w:tmpl w:val="FBF2F5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6B1A0558"/>
    <w:multiLevelType w:val="hybridMultilevel"/>
    <w:tmpl w:val="850C7C64"/>
    <w:lvl w:ilvl="0" w:tplc="6720AC9E">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34390C"/>
    <w:multiLevelType w:val="hybridMultilevel"/>
    <w:tmpl w:val="62A81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6F1BD1"/>
    <w:multiLevelType w:val="hybridMultilevel"/>
    <w:tmpl w:val="F7C615D4"/>
    <w:lvl w:ilvl="0" w:tplc="FFFFFFFF">
      <w:start w:val="1"/>
      <w:numFmt w:val="lowerLetter"/>
      <w:lvlText w:val="%1."/>
      <w:lvlJc w:val="left"/>
      <w:pPr>
        <w:ind w:left="720" w:hanging="360"/>
      </w:pPr>
      <w:rPr>
        <w:rFonts w:asciiTheme="minorHAnsi" w:eastAsiaTheme="minorHAnsi" w:hAnsiTheme="minorHAnsi"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2"/>
  </w:num>
  <w:num w:numId="2">
    <w:abstractNumId w:val="5"/>
  </w:num>
  <w:num w:numId="3">
    <w:abstractNumId w:val="7"/>
  </w:num>
  <w:num w:numId="4">
    <w:abstractNumId w:val="6"/>
  </w:num>
  <w:num w:numId="5">
    <w:abstractNumId w:val="0"/>
  </w:num>
  <w:num w:numId="6">
    <w:abstractNumId w:val="3"/>
  </w:num>
  <w:num w:numId="7">
    <w:abstractNumId w:val="15"/>
  </w:num>
  <w:num w:numId="8">
    <w:abstractNumId w:val="18"/>
  </w:num>
  <w:num w:numId="9">
    <w:abstractNumId w:val="21"/>
  </w:num>
  <w:num w:numId="10">
    <w:abstractNumId w:val="13"/>
  </w:num>
  <w:num w:numId="11">
    <w:abstractNumId w:val="16"/>
  </w:num>
  <w:num w:numId="12">
    <w:abstractNumId w:val="9"/>
  </w:num>
  <w:num w:numId="13">
    <w:abstractNumId w:val="1"/>
  </w:num>
  <w:num w:numId="14">
    <w:abstractNumId w:val="2"/>
  </w:num>
  <w:num w:numId="15">
    <w:abstractNumId w:val="10"/>
  </w:num>
  <w:num w:numId="16">
    <w:abstractNumId w:val="20"/>
  </w:num>
  <w:num w:numId="17">
    <w:abstractNumId w:val="4"/>
  </w:num>
  <w:num w:numId="18">
    <w:abstractNumId w:val="8"/>
  </w:num>
  <w:num w:numId="19">
    <w:abstractNumId w:val="19"/>
  </w:num>
  <w:num w:numId="20">
    <w:abstractNumId w:val="17"/>
  </w:num>
  <w:num w:numId="21">
    <w:abstractNumId w:val="22"/>
  </w:num>
  <w:num w:numId="22">
    <w:abstractNumId w:val="14"/>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w:hdrShapeDefaults>
  <w:footnotePr>
    <w:footnote w:id="-1"/>
    <w:footnote w:id="0"/>
    <w:footnote w:id="1"/>
  </w:footnotePr>
  <w:endnotePr>
    <w:endnote w:id="-1"/>
    <w:endnote w:id="0"/>
    <w:endnote w:id="1"/>
  </w:endnotePr>
  <w:compat/>
  <w:rsids>
    <w:rsidRoot w:val="00C13199"/>
    <w:rsid w:val="00001A63"/>
    <w:rsid w:val="00003B61"/>
    <w:rsid w:val="00003CBD"/>
    <w:rsid w:val="00006199"/>
    <w:rsid w:val="000062B8"/>
    <w:rsid w:val="00006EB9"/>
    <w:rsid w:val="000122A4"/>
    <w:rsid w:val="00012372"/>
    <w:rsid w:val="00014F49"/>
    <w:rsid w:val="000164C7"/>
    <w:rsid w:val="00020180"/>
    <w:rsid w:val="0002261B"/>
    <w:rsid w:val="00023760"/>
    <w:rsid w:val="0002718F"/>
    <w:rsid w:val="000272F9"/>
    <w:rsid w:val="000276BB"/>
    <w:rsid w:val="00030E48"/>
    <w:rsid w:val="000310F1"/>
    <w:rsid w:val="00031C34"/>
    <w:rsid w:val="000324BE"/>
    <w:rsid w:val="00041513"/>
    <w:rsid w:val="000415C3"/>
    <w:rsid w:val="000421F7"/>
    <w:rsid w:val="0004395A"/>
    <w:rsid w:val="00045645"/>
    <w:rsid w:val="0004630B"/>
    <w:rsid w:val="00046EFE"/>
    <w:rsid w:val="000506CD"/>
    <w:rsid w:val="0005083F"/>
    <w:rsid w:val="00053540"/>
    <w:rsid w:val="00054A5A"/>
    <w:rsid w:val="0005553A"/>
    <w:rsid w:val="00056828"/>
    <w:rsid w:val="00057812"/>
    <w:rsid w:val="00057914"/>
    <w:rsid w:val="00060789"/>
    <w:rsid w:val="00060FA4"/>
    <w:rsid w:val="00065634"/>
    <w:rsid w:val="000656E3"/>
    <w:rsid w:val="00065DEE"/>
    <w:rsid w:val="00071EB4"/>
    <w:rsid w:val="0007242B"/>
    <w:rsid w:val="0007271C"/>
    <w:rsid w:val="00072F2C"/>
    <w:rsid w:val="00075E07"/>
    <w:rsid w:val="000762BE"/>
    <w:rsid w:val="00076B96"/>
    <w:rsid w:val="00077085"/>
    <w:rsid w:val="000771AB"/>
    <w:rsid w:val="00080131"/>
    <w:rsid w:val="00080BE8"/>
    <w:rsid w:val="000810A4"/>
    <w:rsid w:val="00081E11"/>
    <w:rsid w:val="00081EFB"/>
    <w:rsid w:val="000827C4"/>
    <w:rsid w:val="00082F6F"/>
    <w:rsid w:val="000837A0"/>
    <w:rsid w:val="00085ED4"/>
    <w:rsid w:val="00085FCC"/>
    <w:rsid w:val="000878E2"/>
    <w:rsid w:val="00087FDB"/>
    <w:rsid w:val="00091021"/>
    <w:rsid w:val="0009102C"/>
    <w:rsid w:val="000941B2"/>
    <w:rsid w:val="0009676D"/>
    <w:rsid w:val="000A1603"/>
    <w:rsid w:val="000A1E40"/>
    <w:rsid w:val="000A2C40"/>
    <w:rsid w:val="000A568B"/>
    <w:rsid w:val="000A5A59"/>
    <w:rsid w:val="000A6404"/>
    <w:rsid w:val="000A6B72"/>
    <w:rsid w:val="000A6EF3"/>
    <w:rsid w:val="000B0885"/>
    <w:rsid w:val="000B1188"/>
    <w:rsid w:val="000B3464"/>
    <w:rsid w:val="000B3C69"/>
    <w:rsid w:val="000B42AE"/>
    <w:rsid w:val="000B43CB"/>
    <w:rsid w:val="000B53EE"/>
    <w:rsid w:val="000B552C"/>
    <w:rsid w:val="000B5F78"/>
    <w:rsid w:val="000B6947"/>
    <w:rsid w:val="000C2648"/>
    <w:rsid w:val="000C3782"/>
    <w:rsid w:val="000C53AE"/>
    <w:rsid w:val="000C5D41"/>
    <w:rsid w:val="000C6826"/>
    <w:rsid w:val="000C697D"/>
    <w:rsid w:val="000C78B6"/>
    <w:rsid w:val="000D0452"/>
    <w:rsid w:val="000D10EA"/>
    <w:rsid w:val="000D15EE"/>
    <w:rsid w:val="000D16E1"/>
    <w:rsid w:val="000D5703"/>
    <w:rsid w:val="000D67DE"/>
    <w:rsid w:val="000E1156"/>
    <w:rsid w:val="000E3EB6"/>
    <w:rsid w:val="000E7345"/>
    <w:rsid w:val="000F0432"/>
    <w:rsid w:val="000F1747"/>
    <w:rsid w:val="000F4A83"/>
    <w:rsid w:val="000F6D04"/>
    <w:rsid w:val="0010132D"/>
    <w:rsid w:val="00102754"/>
    <w:rsid w:val="00102E75"/>
    <w:rsid w:val="001038F4"/>
    <w:rsid w:val="00103AC3"/>
    <w:rsid w:val="00111371"/>
    <w:rsid w:val="001121CA"/>
    <w:rsid w:val="00112C48"/>
    <w:rsid w:val="00113568"/>
    <w:rsid w:val="00114F00"/>
    <w:rsid w:val="001162A7"/>
    <w:rsid w:val="00126BA8"/>
    <w:rsid w:val="001273FE"/>
    <w:rsid w:val="001310D4"/>
    <w:rsid w:val="001315BB"/>
    <w:rsid w:val="001333B1"/>
    <w:rsid w:val="00134FFE"/>
    <w:rsid w:val="0013658D"/>
    <w:rsid w:val="00137353"/>
    <w:rsid w:val="001409D2"/>
    <w:rsid w:val="00140C42"/>
    <w:rsid w:val="0014436C"/>
    <w:rsid w:val="0014487A"/>
    <w:rsid w:val="0014657A"/>
    <w:rsid w:val="00151CCB"/>
    <w:rsid w:val="00152EBE"/>
    <w:rsid w:val="001539E5"/>
    <w:rsid w:val="00153DC7"/>
    <w:rsid w:val="00155E07"/>
    <w:rsid w:val="00156332"/>
    <w:rsid w:val="00156746"/>
    <w:rsid w:val="00162F2A"/>
    <w:rsid w:val="00164E21"/>
    <w:rsid w:val="00166235"/>
    <w:rsid w:val="00166E9A"/>
    <w:rsid w:val="00167B65"/>
    <w:rsid w:val="00170DED"/>
    <w:rsid w:val="00173F3B"/>
    <w:rsid w:val="00174487"/>
    <w:rsid w:val="0017450F"/>
    <w:rsid w:val="0017631E"/>
    <w:rsid w:val="00177434"/>
    <w:rsid w:val="001805DE"/>
    <w:rsid w:val="00180CE5"/>
    <w:rsid w:val="00182224"/>
    <w:rsid w:val="00182929"/>
    <w:rsid w:val="00183784"/>
    <w:rsid w:val="00184304"/>
    <w:rsid w:val="001856A1"/>
    <w:rsid w:val="00186784"/>
    <w:rsid w:val="00187933"/>
    <w:rsid w:val="00187CDC"/>
    <w:rsid w:val="001926E0"/>
    <w:rsid w:val="0019475D"/>
    <w:rsid w:val="001951EA"/>
    <w:rsid w:val="00195FDC"/>
    <w:rsid w:val="00196D98"/>
    <w:rsid w:val="00197555"/>
    <w:rsid w:val="0019794F"/>
    <w:rsid w:val="001A21B0"/>
    <w:rsid w:val="001A4D58"/>
    <w:rsid w:val="001A6D1B"/>
    <w:rsid w:val="001A74BE"/>
    <w:rsid w:val="001A758A"/>
    <w:rsid w:val="001A7AB9"/>
    <w:rsid w:val="001B06DC"/>
    <w:rsid w:val="001B3397"/>
    <w:rsid w:val="001B6F07"/>
    <w:rsid w:val="001B7303"/>
    <w:rsid w:val="001B7384"/>
    <w:rsid w:val="001B7682"/>
    <w:rsid w:val="001B786E"/>
    <w:rsid w:val="001C0A2B"/>
    <w:rsid w:val="001C0A99"/>
    <w:rsid w:val="001C2316"/>
    <w:rsid w:val="001C26AA"/>
    <w:rsid w:val="001C400C"/>
    <w:rsid w:val="001C54ED"/>
    <w:rsid w:val="001D1274"/>
    <w:rsid w:val="001D16F9"/>
    <w:rsid w:val="001D47D4"/>
    <w:rsid w:val="001D5D9E"/>
    <w:rsid w:val="001D7074"/>
    <w:rsid w:val="001E0E5B"/>
    <w:rsid w:val="001E0EC3"/>
    <w:rsid w:val="001E0F44"/>
    <w:rsid w:val="001E1B93"/>
    <w:rsid w:val="001E6AA1"/>
    <w:rsid w:val="001F05B6"/>
    <w:rsid w:val="001F0903"/>
    <w:rsid w:val="001F0D25"/>
    <w:rsid w:val="001F1C1E"/>
    <w:rsid w:val="001F274E"/>
    <w:rsid w:val="001F5EB5"/>
    <w:rsid w:val="001F786F"/>
    <w:rsid w:val="00205766"/>
    <w:rsid w:val="00205FFD"/>
    <w:rsid w:val="002109DF"/>
    <w:rsid w:val="00213A89"/>
    <w:rsid w:val="00214287"/>
    <w:rsid w:val="002168E5"/>
    <w:rsid w:val="00216DA5"/>
    <w:rsid w:val="002172C4"/>
    <w:rsid w:val="00222A33"/>
    <w:rsid w:val="00223456"/>
    <w:rsid w:val="00224488"/>
    <w:rsid w:val="00224B74"/>
    <w:rsid w:val="00224CC8"/>
    <w:rsid w:val="00224E68"/>
    <w:rsid w:val="00227850"/>
    <w:rsid w:val="00230A45"/>
    <w:rsid w:val="002312EE"/>
    <w:rsid w:val="002313E5"/>
    <w:rsid w:val="002313EB"/>
    <w:rsid w:val="002315B2"/>
    <w:rsid w:val="00231CAE"/>
    <w:rsid w:val="00231F5E"/>
    <w:rsid w:val="002330D2"/>
    <w:rsid w:val="0023712E"/>
    <w:rsid w:val="00240D87"/>
    <w:rsid w:val="00243167"/>
    <w:rsid w:val="002434C2"/>
    <w:rsid w:val="00243ED9"/>
    <w:rsid w:val="0024415E"/>
    <w:rsid w:val="00244238"/>
    <w:rsid w:val="00245E44"/>
    <w:rsid w:val="00250F09"/>
    <w:rsid w:val="0025140F"/>
    <w:rsid w:val="0025262A"/>
    <w:rsid w:val="00252827"/>
    <w:rsid w:val="00252A80"/>
    <w:rsid w:val="0025486F"/>
    <w:rsid w:val="00254B81"/>
    <w:rsid w:val="0025515E"/>
    <w:rsid w:val="00255481"/>
    <w:rsid w:val="00256AE7"/>
    <w:rsid w:val="00257914"/>
    <w:rsid w:val="00261616"/>
    <w:rsid w:val="0026163E"/>
    <w:rsid w:val="002634DD"/>
    <w:rsid w:val="00263EC5"/>
    <w:rsid w:val="00263FD7"/>
    <w:rsid w:val="002640E4"/>
    <w:rsid w:val="00265262"/>
    <w:rsid w:val="0026532C"/>
    <w:rsid w:val="00265CBF"/>
    <w:rsid w:val="002676F7"/>
    <w:rsid w:val="0027003C"/>
    <w:rsid w:val="002723C4"/>
    <w:rsid w:val="00272B21"/>
    <w:rsid w:val="002743ED"/>
    <w:rsid w:val="002757B4"/>
    <w:rsid w:val="00277856"/>
    <w:rsid w:val="00281050"/>
    <w:rsid w:val="0028265F"/>
    <w:rsid w:val="00283C4C"/>
    <w:rsid w:val="00283D9E"/>
    <w:rsid w:val="00283FF2"/>
    <w:rsid w:val="0028558D"/>
    <w:rsid w:val="002863BF"/>
    <w:rsid w:val="002869C0"/>
    <w:rsid w:val="002871F2"/>
    <w:rsid w:val="00290137"/>
    <w:rsid w:val="0029099E"/>
    <w:rsid w:val="00290BE5"/>
    <w:rsid w:val="00291A4F"/>
    <w:rsid w:val="00291B6D"/>
    <w:rsid w:val="0029348D"/>
    <w:rsid w:val="00293513"/>
    <w:rsid w:val="00294C87"/>
    <w:rsid w:val="00294ECC"/>
    <w:rsid w:val="002A1206"/>
    <w:rsid w:val="002A2112"/>
    <w:rsid w:val="002A21C1"/>
    <w:rsid w:val="002A31E6"/>
    <w:rsid w:val="002A34DF"/>
    <w:rsid w:val="002A3950"/>
    <w:rsid w:val="002A5347"/>
    <w:rsid w:val="002A6A8A"/>
    <w:rsid w:val="002A6F2B"/>
    <w:rsid w:val="002A7209"/>
    <w:rsid w:val="002B10A4"/>
    <w:rsid w:val="002B1D93"/>
    <w:rsid w:val="002B294F"/>
    <w:rsid w:val="002B34F4"/>
    <w:rsid w:val="002B3A0C"/>
    <w:rsid w:val="002B5FEE"/>
    <w:rsid w:val="002B7886"/>
    <w:rsid w:val="002C1C50"/>
    <w:rsid w:val="002C2116"/>
    <w:rsid w:val="002C2237"/>
    <w:rsid w:val="002C7964"/>
    <w:rsid w:val="002C7BC4"/>
    <w:rsid w:val="002D16FD"/>
    <w:rsid w:val="002D1C3A"/>
    <w:rsid w:val="002D29A4"/>
    <w:rsid w:val="002D3E2B"/>
    <w:rsid w:val="002D4571"/>
    <w:rsid w:val="002D5111"/>
    <w:rsid w:val="002D7E6E"/>
    <w:rsid w:val="002E076C"/>
    <w:rsid w:val="002E161F"/>
    <w:rsid w:val="002E1722"/>
    <w:rsid w:val="002E26B0"/>
    <w:rsid w:val="002E2DE3"/>
    <w:rsid w:val="002E5EA1"/>
    <w:rsid w:val="002E67FA"/>
    <w:rsid w:val="002F02E8"/>
    <w:rsid w:val="002F045F"/>
    <w:rsid w:val="002F04C2"/>
    <w:rsid w:val="002F066F"/>
    <w:rsid w:val="002F0EC1"/>
    <w:rsid w:val="002F1220"/>
    <w:rsid w:val="002F1C42"/>
    <w:rsid w:val="002F3B1E"/>
    <w:rsid w:val="002F428F"/>
    <w:rsid w:val="002F45D1"/>
    <w:rsid w:val="002F4AE0"/>
    <w:rsid w:val="002F4EEC"/>
    <w:rsid w:val="002F61F2"/>
    <w:rsid w:val="002F7D81"/>
    <w:rsid w:val="003007F1"/>
    <w:rsid w:val="00300A06"/>
    <w:rsid w:val="003015DC"/>
    <w:rsid w:val="003023F5"/>
    <w:rsid w:val="00303AD8"/>
    <w:rsid w:val="00304C49"/>
    <w:rsid w:val="00305A13"/>
    <w:rsid w:val="003064E8"/>
    <w:rsid w:val="00310CEC"/>
    <w:rsid w:val="00310DE5"/>
    <w:rsid w:val="003115B7"/>
    <w:rsid w:val="003135BE"/>
    <w:rsid w:val="00313C56"/>
    <w:rsid w:val="0031419E"/>
    <w:rsid w:val="00315621"/>
    <w:rsid w:val="0031726F"/>
    <w:rsid w:val="00317767"/>
    <w:rsid w:val="00320711"/>
    <w:rsid w:val="003217EC"/>
    <w:rsid w:val="00321E53"/>
    <w:rsid w:val="0032244C"/>
    <w:rsid w:val="003230B8"/>
    <w:rsid w:val="003260B1"/>
    <w:rsid w:val="00330057"/>
    <w:rsid w:val="00331242"/>
    <w:rsid w:val="0033270E"/>
    <w:rsid w:val="00332FD9"/>
    <w:rsid w:val="003346D1"/>
    <w:rsid w:val="003347F8"/>
    <w:rsid w:val="003353E8"/>
    <w:rsid w:val="003356D1"/>
    <w:rsid w:val="00335F1E"/>
    <w:rsid w:val="003364C9"/>
    <w:rsid w:val="003375A7"/>
    <w:rsid w:val="0033794D"/>
    <w:rsid w:val="0033798F"/>
    <w:rsid w:val="00340D05"/>
    <w:rsid w:val="00341B22"/>
    <w:rsid w:val="00344206"/>
    <w:rsid w:val="0034430B"/>
    <w:rsid w:val="00345A94"/>
    <w:rsid w:val="00346E72"/>
    <w:rsid w:val="003478BF"/>
    <w:rsid w:val="00347D42"/>
    <w:rsid w:val="00355524"/>
    <w:rsid w:val="00356287"/>
    <w:rsid w:val="00357872"/>
    <w:rsid w:val="00360149"/>
    <w:rsid w:val="003607BE"/>
    <w:rsid w:val="003611A0"/>
    <w:rsid w:val="00363E21"/>
    <w:rsid w:val="003651ED"/>
    <w:rsid w:val="003653B8"/>
    <w:rsid w:val="00370E33"/>
    <w:rsid w:val="0037105C"/>
    <w:rsid w:val="00372967"/>
    <w:rsid w:val="0037694B"/>
    <w:rsid w:val="00376A11"/>
    <w:rsid w:val="00376E86"/>
    <w:rsid w:val="00377BE0"/>
    <w:rsid w:val="00380ABA"/>
    <w:rsid w:val="00380AF5"/>
    <w:rsid w:val="00380D4B"/>
    <w:rsid w:val="0038315F"/>
    <w:rsid w:val="00383CCE"/>
    <w:rsid w:val="0038516E"/>
    <w:rsid w:val="003905BB"/>
    <w:rsid w:val="00390E8C"/>
    <w:rsid w:val="00392E0D"/>
    <w:rsid w:val="00392EC0"/>
    <w:rsid w:val="00394330"/>
    <w:rsid w:val="003954A0"/>
    <w:rsid w:val="00396A10"/>
    <w:rsid w:val="003A044D"/>
    <w:rsid w:val="003A0ED4"/>
    <w:rsid w:val="003A19A2"/>
    <w:rsid w:val="003A1E90"/>
    <w:rsid w:val="003A356D"/>
    <w:rsid w:val="003A4EB4"/>
    <w:rsid w:val="003A5B9C"/>
    <w:rsid w:val="003A7E4D"/>
    <w:rsid w:val="003B2919"/>
    <w:rsid w:val="003B4C3B"/>
    <w:rsid w:val="003B5A23"/>
    <w:rsid w:val="003B7A88"/>
    <w:rsid w:val="003C0DE2"/>
    <w:rsid w:val="003C14D4"/>
    <w:rsid w:val="003C231D"/>
    <w:rsid w:val="003C2568"/>
    <w:rsid w:val="003C29D3"/>
    <w:rsid w:val="003C39BF"/>
    <w:rsid w:val="003C464F"/>
    <w:rsid w:val="003C5551"/>
    <w:rsid w:val="003C5AC7"/>
    <w:rsid w:val="003C5D82"/>
    <w:rsid w:val="003C6AAF"/>
    <w:rsid w:val="003C76C2"/>
    <w:rsid w:val="003D0F82"/>
    <w:rsid w:val="003D1685"/>
    <w:rsid w:val="003D2881"/>
    <w:rsid w:val="003D36D8"/>
    <w:rsid w:val="003D5912"/>
    <w:rsid w:val="003E1C18"/>
    <w:rsid w:val="003E2189"/>
    <w:rsid w:val="003E5E8F"/>
    <w:rsid w:val="003E5FCB"/>
    <w:rsid w:val="003E7429"/>
    <w:rsid w:val="003F1418"/>
    <w:rsid w:val="003F3CF1"/>
    <w:rsid w:val="003F727C"/>
    <w:rsid w:val="00400577"/>
    <w:rsid w:val="00400953"/>
    <w:rsid w:val="00401432"/>
    <w:rsid w:val="00402784"/>
    <w:rsid w:val="00403E19"/>
    <w:rsid w:val="00404350"/>
    <w:rsid w:val="00404AE6"/>
    <w:rsid w:val="00405CC0"/>
    <w:rsid w:val="00407FC5"/>
    <w:rsid w:val="00410E39"/>
    <w:rsid w:val="00411563"/>
    <w:rsid w:val="00412D8F"/>
    <w:rsid w:val="0041460F"/>
    <w:rsid w:val="004148C6"/>
    <w:rsid w:val="00416FA1"/>
    <w:rsid w:val="0042104F"/>
    <w:rsid w:val="00421765"/>
    <w:rsid w:val="00421845"/>
    <w:rsid w:val="00421DBE"/>
    <w:rsid w:val="00423D9B"/>
    <w:rsid w:val="00425E9C"/>
    <w:rsid w:val="0042681A"/>
    <w:rsid w:val="00427040"/>
    <w:rsid w:val="00430DD0"/>
    <w:rsid w:val="00432909"/>
    <w:rsid w:val="00433EDF"/>
    <w:rsid w:val="00434003"/>
    <w:rsid w:val="0043596F"/>
    <w:rsid w:val="00435BC3"/>
    <w:rsid w:val="004379CE"/>
    <w:rsid w:val="00440679"/>
    <w:rsid w:val="00441AC9"/>
    <w:rsid w:val="00443A43"/>
    <w:rsid w:val="00443DF0"/>
    <w:rsid w:val="004453E5"/>
    <w:rsid w:val="00445684"/>
    <w:rsid w:val="004456C9"/>
    <w:rsid w:val="00445F4A"/>
    <w:rsid w:val="00446B80"/>
    <w:rsid w:val="00446D5B"/>
    <w:rsid w:val="00447BAE"/>
    <w:rsid w:val="00451406"/>
    <w:rsid w:val="00451F7B"/>
    <w:rsid w:val="004552BF"/>
    <w:rsid w:val="0045552C"/>
    <w:rsid w:val="00455D64"/>
    <w:rsid w:val="00456ECD"/>
    <w:rsid w:val="004600D3"/>
    <w:rsid w:val="004608D8"/>
    <w:rsid w:val="004636DA"/>
    <w:rsid w:val="00463D2E"/>
    <w:rsid w:val="00463EAC"/>
    <w:rsid w:val="00463EAF"/>
    <w:rsid w:val="00464339"/>
    <w:rsid w:val="0046491C"/>
    <w:rsid w:val="00464BB5"/>
    <w:rsid w:val="004659FE"/>
    <w:rsid w:val="00474FD8"/>
    <w:rsid w:val="00475935"/>
    <w:rsid w:val="0047688B"/>
    <w:rsid w:val="004770C9"/>
    <w:rsid w:val="0048019B"/>
    <w:rsid w:val="00480E9B"/>
    <w:rsid w:val="00481B32"/>
    <w:rsid w:val="00481FB5"/>
    <w:rsid w:val="004865E1"/>
    <w:rsid w:val="0048767A"/>
    <w:rsid w:val="004913DC"/>
    <w:rsid w:val="00491CC8"/>
    <w:rsid w:val="00493C34"/>
    <w:rsid w:val="004973EC"/>
    <w:rsid w:val="004A252E"/>
    <w:rsid w:val="004A46DD"/>
    <w:rsid w:val="004A5F2A"/>
    <w:rsid w:val="004B00DB"/>
    <w:rsid w:val="004B1571"/>
    <w:rsid w:val="004B1BA4"/>
    <w:rsid w:val="004B316B"/>
    <w:rsid w:val="004B5A67"/>
    <w:rsid w:val="004B63D3"/>
    <w:rsid w:val="004B6958"/>
    <w:rsid w:val="004C1D7E"/>
    <w:rsid w:val="004C2358"/>
    <w:rsid w:val="004C32AE"/>
    <w:rsid w:val="004C5CA1"/>
    <w:rsid w:val="004C6434"/>
    <w:rsid w:val="004C7986"/>
    <w:rsid w:val="004C79A3"/>
    <w:rsid w:val="004D00CE"/>
    <w:rsid w:val="004D200D"/>
    <w:rsid w:val="004D288B"/>
    <w:rsid w:val="004D628B"/>
    <w:rsid w:val="004D6413"/>
    <w:rsid w:val="004D685A"/>
    <w:rsid w:val="004E06E7"/>
    <w:rsid w:val="004E30E6"/>
    <w:rsid w:val="004E3F60"/>
    <w:rsid w:val="004F144C"/>
    <w:rsid w:val="004F19CB"/>
    <w:rsid w:val="004F1E5C"/>
    <w:rsid w:val="004F474E"/>
    <w:rsid w:val="004F5033"/>
    <w:rsid w:val="004F54E3"/>
    <w:rsid w:val="004F60FF"/>
    <w:rsid w:val="004F6ACC"/>
    <w:rsid w:val="004F7673"/>
    <w:rsid w:val="005002F7"/>
    <w:rsid w:val="0050094B"/>
    <w:rsid w:val="0050345D"/>
    <w:rsid w:val="005035FE"/>
    <w:rsid w:val="00503A41"/>
    <w:rsid w:val="0050531A"/>
    <w:rsid w:val="00505695"/>
    <w:rsid w:val="00506D1E"/>
    <w:rsid w:val="00507135"/>
    <w:rsid w:val="00507E04"/>
    <w:rsid w:val="00507FC2"/>
    <w:rsid w:val="00511A41"/>
    <w:rsid w:val="005146FF"/>
    <w:rsid w:val="00515261"/>
    <w:rsid w:val="005159E2"/>
    <w:rsid w:val="00515FEA"/>
    <w:rsid w:val="0052000F"/>
    <w:rsid w:val="005204D9"/>
    <w:rsid w:val="005212DF"/>
    <w:rsid w:val="0052179B"/>
    <w:rsid w:val="00521862"/>
    <w:rsid w:val="005229A3"/>
    <w:rsid w:val="00523CFB"/>
    <w:rsid w:val="005249B9"/>
    <w:rsid w:val="00526B09"/>
    <w:rsid w:val="00530125"/>
    <w:rsid w:val="00530CFE"/>
    <w:rsid w:val="00530ED0"/>
    <w:rsid w:val="0053106E"/>
    <w:rsid w:val="005323E3"/>
    <w:rsid w:val="005341E6"/>
    <w:rsid w:val="005346D1"/>
    <w:rsid w:val="00535437"/>
    <w:rsid w:val="0053553F"/>
    <w:rsid w:val="005378D7"/>
    <w:rsid w:val="00540F9D"/>
    <w:rsid w:val="005412FB"/>
    <w:rsid w:val="00542270"/>
    <w:rsid w:val="00542A39"/>
    <w:rsid w:val="00542D2E"/>
    <w:rsid w:val="005436B2"/>
    <w:rsid w:val="005459BF"/>
    <w:rsid w:val="00547D24"/>
    <w:rsid w:val="005501E9"/>
    <w:rsid w:val="00550498"/>
    <w:rsid w:val="005504A7"/>
    <w:rsid w:val="0055093B"/>
    <w:rsid w:val="005510EA"/>
    <w:rsid w:val="00551E1A"/>
    <w:rsid w:val="00553360"/>
    <w:rsid w:val="00555255"/>
    <w:rsid w:val="005553D4"/>
    <w:rsid w:val="00556440"/>
    <w:rsid w:val="00556786"/>
    <w:rsid w:val="005573C5"/>
    <w:rsid w:val="0056373A"/>
    <w:rsid w:val="00563BBF"/>
    <w:rsid w:val="00565750"/>
    <w:rsid w:val="00566611"/>
    <w:rsid w:val="00574E93"/>
    <w:rsid w:val="005750C9"/>
    <w:rsid w:val="00575A6B"/>
    <w:rsid w:val="00575DA9"/>
    <w:rsid w:val="00576E4D"/>
    <w:rsid w:val="00577C29"/>
    <w:rsid w:val="00577EE9"/>
    <w:rsid w:val="00580E1D"/>
    <w:rsid w:val="00583EFB"/>
    <w:rsid w:val="005848F2"/>
    <w:rsid w:val="00584A3F"/>
    <w:rsid w:val="00585F0D"/>
    <w:rsid w:val="0058618F"/>
    <w:rsid w:val="0058652D"/>
    <w:rsid w:val="00586D16"/>
    <w:rsid w:val="0059090E"/>
    <w:rsid w:val="005913D8"/>
    <w:rsid w:val="00592221"/>
    <w:rsid w:val="005937DA"/>
    <w:rsid w:val="00593C29"/>
    <w:rsid w:val="00594A0B"/>
    <w:rsid w:val="00596069"/>
    <w:rsid w:val="00596129"/>
    <w:rsid w:val="005962E5"/>
    <w:rsid w:val="0059762E"/>
    <w:rsid w:val="005A170E"/>
    <w:rsid w:val="005A29B3"/>
    <w:rsid w:val="005A3DA8"/>
    <w:rsid w:val="005A3DC0"/>
    <w:rsid w:val="005A67B3"/>
    <w:rsid w:val="005B019E"/>
    <w:rsid w:val="005B0485"/>
    <w:rsid w:val="005B2496"/>
    <w:rsid w:val="005B2D42"/>
    <w:rsid w:val="005B3BAC"/>
    <w:rsid w:val="005C13CF"/>
    <w:rsid w:val="005C17BC"/>
    <w:rsid w:val="005C27E9"/>
    <w:rsid w:val="005C3360"/>
    <w:rsid w:val="005C5B09"/>
    <w:rsid w:val="005C6092"/>
    <w:rsid w:val="005C64D5"/>
    <w:rsid w:val="005C6D8F"/>
    <w:rsid w:val="005C78FC"/>
    <w:rsid w:val="005D56C6"/>
    <w:rsid w:val="005D6467"/>
    <w:rsid w:val="005D6CF7"/>
    <w:rsid w:val="005D6D32"/>
    <w:rsid w:val="005D72B2"/>
    <w:rsid w:val="005E06C8"/>
    <w:rsid w:val="005E06EF"/>
    <w:rsid w:val="005E0ED3"/>
    <w:rsid w:val="005E2412"/>
    <w:rsid w:val="005E3286"/>
    <w:rsid w:val="005E3B92"/>
    <w:rsid w:val="005E4363"/>
    <w:rsid w:val="005E600B"/>
    <w:rsid w:val="005E627B"/>
    <w:rsid w:val="005E6F58"/>
    <w:rsid w:val="005E7291"/>
    <w:rsid w:val="005F314A"/>
    <w:rsid w:val="005F3BA7"/>
    <w:rsid w:val="005F5412"/>
    <w:rsid w:val="005F7419"/>
    <w:rsid w:val="005F7526"/>
    <w:rsid w:val="0060077E"/>
    <w:rsid w:val="00602C44"/>
    <w:rsid w:val="00604281"/>
    <w:rsid w:val="006070CB"/>
    <w:rsid w:val="0061068D"/>
    <w:rsid w:val="00613498"/>
    <w:rsid w:val="00614619"/>
    <w:rsid w:val="00614F62"/>
    <w:rsid w:val="00616496"/>
    <w:rsid w:val="006164E4"/>
    <w:rsid w:val="0061684D"/>
    <w:rsid w:val="00617597"/>
    <w:rsid w:val="00617B23"/>
    <w:rsid w:val="0062111E"/>
    <w:rsid w:val="00621AA2"/>
    <w:rsid w:val="00622187"/>
    <w:rsid w:val="00622C59"/>
    <w:rsid w:val="006253CD"/>
    <w:rsid w:val="00627F58"/>
    <w:rsid w:val="006300BE"/>
    <w:rsid w:val="00632C2C"/>
    <w:rsid w:val="00633079"/>
    <w:rsid w:val="006353FC"/>
    <w:rsid w:val="006414A1"/>
    <w:rsid w:val="00641826"/>
    <w:rsid w:val="00641A0A"/>
    <w:rsid w:val="00646FCC"/>
    <w:rsid w:val="006478D5"/>
    <w:rsid w:val="0065277F"/>
    <w:rsid w:val="0065351C"/>
    <w:rsid w:val="006537FF"/>
    <w:rsid w:val="006539E3"/>
    <w:rsid w:val="00653D15"/>
    <w:rsid w:val="006543EE"/>
    <w:rsid w:val="006549C8"/>
    <w:rsid w:val="00654B6B"/>
    <w:rsid w:val="00654CFB"/>
    <w:rsid w:val="0065599E"/>
    <w:rsid w:val="00656AE6"/>
    <w:rsid w:val="00657DEB"/>
    <w:rsid w:val="00660018"/>
    <w:rsid w:val="00662A9D"/>
    <w:rsid w:val="0066382E"/>
    <w:rsid w:val="00664722"/>
    <w:rsid w:val="00671ACE"/>
    <w:rsid w:val="00673221"/>
    <w:rsid w:val="00674AFA"/>
    <w:rsid w:val="00674D99"/>
    <w:rsid w:val="00675218"/>
    <w:rsid w:val="006755B7"/>
    <w:rsid w:val="00676287"/>
    <w:rsid w:val="006762C6"/>
    <w:rsid w:val="0067675E"/>
    <w:rsid w:val="006773EB"/>
    <w:rsid w:val="00677B29"/>
    <w:rsid w:val="00677E49"/>
    <w:rsid w:val="00680311"/>
    <w:rsid w:val="00682F27"/>
    <w:rsid w:val="0068317D"/>
    <w:rsid w:val="00683C53"/>
    <w:rsid w:val="00683DFF"/>
    <w:rsid w:val="0068587E"/>
    <w:rsid w:val="00686879"/>
    <w:rsid w:val="006868C2"/>
    <w:rsid w:val="00686996"/>
    <w:rsid w:val="00687210"/>
    <w:rsid w:val="006877D1"/>
    <w:rsid w:val="00690E26"/>
    <w:rsid w:val="006922B3"/>
    <w:rsid w:val="00693AD4"/>
    <w:rsid w:val="00693E9F"/>
    <w:rsid w:val="00694035"/>
    <w:rsid w:val="00696A05"/>
    <w:rsid w:val="006A0E4F"/>
    <w:rsid w:val="006A1908"/>
    <w:rsid w:val="006A353A"/>
    <w:rsid w:val="006B19CA"/>
    <w:rsid w:val="006B2F9B"/>
    <w:rsid w:val="006B3EB0"/>
    <w:rsid w:val="006B4421"/>
    <w:rsid w:val="006B4B72"/>
    <w:rsid w:val="006B5AC5"/>
    <w:rsid w:val="006B6AC2"/>
    <w:rsid w:val="006B754E"/>
    <w:rsid w:val="006B7680"/>
    <w:rsid w:val="006B773B"/>
    <w:rsid w:val="006B7D97"/>
    <w:rsid w:val="006C3A4F"/>
    <w:rsid w:val="006C5F02"/>
    <w:rsid w:val="006C622E"/>
    <w:rsid w:val="006C6F9E"/>
    <w:rsid w:val="006C7A24"/>
    <w:rsid w:val="006D0C5C"/>
    <w:rsid w:val="006D0D84"/>
    <w:rsid w:val="006D1A4B"/>
    <w:rsid w:val="006D2E7D"/>
    <w:rsid w:val="006D33FE"/>
    <w:rsid w:val="006D70E5"/>
    <w:rsid w:val="006E0C93"/>
    <w:rsid w:val="006E1969"/>
    <w:rsid w:val="006E3954"/>
    <w:rsid w:val="006E4103"/>
    <w:rsid w:val="006E4BE2"/>
    <w:rsid w:val="006E6875"/>
    <w:rsid w:val="006E7E8C"/>
    <w:rsid w:val="006F05A4"/>
    <w:rsid w:val="006F145D"/>
    <w:rsid w:val="006F3AB7"/>
    <w:rsid w:val="007000A4"/>
    <w:rsid w:val="007000E0"/>
    <w:rsid w:val="007013C5"/>
    <w:rsid w:val="007047DC"/>
    <w:rsid w:val="0071108F"/>
    <w:rsid w:val="007118D2"/>
    <w:rsid w:val="007125B9"/>
    <w:rsid w:val="00712FA1"/>
    <w:rsid w:val="0071405B"/>
    <w:rsid w:val="00714DE0"/>
    <w:rsid w:val="0071552E"/>
    <w:rsid w:val="007160DD"/>
    <w:rsid w:val="00716345"/>
    <w:rsid w:val="00716F78"/>
    <w:rsid w:val="007171D4"/>
    <w:rsid w:val="00717E91"/>
    <w:rsid w:val="007209F6"/>
    <w:rsid w:val="00727204"/>
    <w:rsid w:val="0073008A"/>
    <w:rsid w:val="007306E2"/>
    <w:rsid w:val="007314C6"/>
    <w:rsid w:val="00732477"/>
    <w:rsid w:val="00732818"/>
    <w:rsid w:val="00732839"/>
    <w:rsid w:val="00732B01"/>
    <w:rsid w:val="00732B66"/>
    <w:rsid w:val="00732D87"/>
    <w:rsid w:val="007355C2"/>
    <w:rsid w:val="00735A67"/>
    <w:rsid w:val="007370E6"/>
    <w:rsid w:val="00737C68"/>
    <w:rsid w:val="007428B1"/>
    <w:rsid w:val="00742E2C"/>
    <w:rsid w:val="00743218"/>
    <w:rsid w:val="00743C87"/>
    <w:rsid w:val="00744D23"/>
    <w:rsid w:val="0074602D"/>
    <w:rsid w:val="00747404"/>
    <w:rsid w:val="00750132"/>
    <w:rsid w:val="00757F87"/>
    <w:rsid w:val="00760168"/>
    <w:rsid w:val="0076054F"/>
    <w:rsid w:val="00761CB9"/>
    <w:rsid w:val="0076309E"/>
    <w:rsid w:val="00764A0A"/>
    <w:rsid w:val="0077082E"/>
    <w:rsid w:val="00773949"/>
    <w:rsid w:val="00773A0D"/>
    <w:rsid w:val="00774104"/>
    <w:rsid w:val="007751C4"/>
    <w:rsid w:val="007752B3"/>
    <w:rsid w:val="00775651"/>
    <w:rsid w:val="00777C34"/>
    <w:rsid w:val="007808AB"/>
    <w:rsid w:val="00783360"/>
    <w:rsid w:val="00784C33"/>
    <w:rsid w:val="00786238"/>
    <w:rsid w:val="00790577"/>
    <w:rsid w:val="007915A0"/>
    <w:rsid w:val="0079308D"/>
    <w:rsid w:val="007936A0"/>
    <w:rsid w:val="007953FB"/>
    <w:rsid w:val="00796399"/>
    <w:rsid w:val="007966B6"/>
    <w:rsid w:val="007A1143"/>
    <w:rsid w:val="007A2A94"/>
    <w:rsid w:val="007A2FA2"/>
    <w:rsid w:val="007A4183"/>
    <w:rsid w:val="007A4D43"/>
    <w:rsid w:val="007A50CB"/>
    <w:rsid w:val="007A5564"/>
    <w:rsid w:val="007A6474"/>
    <w:rsid w:val="007B028B"/>
    <w:rsid w:val="007B0C89"/>
    <w:rsid w:val="007B1A66"/>
    <w:rsid w:val="007B1F3B"/>
    <w:rsid w:val="007B501A"/>
    <w:rsid w:val="007C2C25"/>
    <w:rsid w:val="007C41CB"/>
    <w:rsid w:val="007C494A"/>
    <w:rsid w:val="007C6292"/>
    <w:rsid w:val="007D0115"/>
    <w:rsid w:val="007D262B"/>
    <w:rsid w:val="007D4D57"/>
    <w:rsid w:val="007D75A5"/>
    <w:rsid w:val="007D78AD"/>
    <w:rsid w:val="007E2029"/>
    <w:rsid w:val="007E32C8"/>
    <w:rsid w:val="007E46FC"/>
    <w:rsid w:val="007E47DF"/>
    <w:rsid w:val="007E4E7E"/>
    <w:rsid w:val="007E59BC"/>
    <w:rsid w:val="007F38BC"/>
    <w:rsid w:val="007F57BC"/>
    <w:rsid w:val="007F5FFC"/>
    <w:rsid w:val="007F61F1"/>
    <w:rsid w:val="007F6786"/>
    <w:rsid w:val="007F7692"/>
    <w:rsid w:val="007F76E0"/>
    <w:rsid w:val="00800A6B"/>
    <w:rsid w:val="008026EB"/>
    <w:rsid w:val="0080305C"/>
    <w:rsid w:val="008034D8"/>
    <w:rsid w:val="008046FD"/>
    <w:rsid w:val="00804835"/>
    <w:rsid w:val="008058E2"/>
    <w:rsid w:val="00807F97"/>
    <w:rsid w:val="0081043C"/>
    <w:rsid w:val="008105F1"/>
    <w:rsid w:val="0081099E"/>
    <w:rsid w:val="00812B18"/>
    <w:rsid w:val="008137FC"/>
    <w:rsid w:val="00815800"/>
    <w:rsid w:val="00816130"/>
    <w:rsid w:val="008171B5"/>
    <w:rsid w:val="00821864"/>
    <w:rsid w:val="008223F6"/>
    <w:rsid w:val="00822ECD"/>
    <w:rsid w:val="00823971"/>
    <w:rsid w:val="00824F0F"/>
    <w:rsid w:val="00825103"/>
    <w:rsid w:val="00825D35"/>
    <w:rsid w:val="00832B59"/>
    <w:rsid w:val="00832EF6"/>
    <w:rsid w:val="00833FF1"/>
    <w:rsid w:val="00834B71"/>
    <w:rsid w:val="008362D9"/>
    <w:rsid w:val="0083768A"/>
    <w:rsid w:val="00843279"/>
    <w:rsid w:val="008444E8"/>
    <w:rsid w:val="00844F7E"/>
    <w:rsid w:val="0084620A"/>
    <w:rsid w:val="00846582"/>
    <w:rsid w:val="00851211"/>
    <w:rsid w:val="008519D5"/>
    <w:rsid w:val="0085259F"/>
    <w:rsid w:val="00852C7F"/>
    <w:rsid w:val="00853103"/>
    <w:rsid w:val="00853F71"/>
    <w:rsid w:val="00855499"/>
    <w:rsid w:val="008577F9"/>
    <w:rsid w:val="00857B7F"/>
    <w:rsid w:val="00860807"/>
    <w:rsid w:val="0086116A"/>
    <w:rsid w:val="0086146E"/>
    <w:rsid w:val="00863BD0"/>
    <w:rsid w:val="00865CBB"/>
    <w:rsid w:val="00865E50"/>
    <w:rsid w:val="00865F02"/>
    <w:rsid w:val="00870386"/>
    <w:rsid w:val="00876187"/>
    <w:rsid w:val="0087622B"/>
    <w:rsid w:val="00880693"/>
    <w:rsid w:val="00890286"/>
    <w:rsid w:val="00890757"/>
    <w:rsid w:val="00890DD7"/>
    <w:rsid w:val="0089157D"/>
    <w:rsid w:val="00891B32"/>
    <w:rsid w:val="0089238E"/>
    <w:rsid w:val="00892570"/>
    <w:rsid w:val="00892D91"/>
    <w:rsid w:val="00894079"/>
    <w:rsid w:val="0089445D"/>
    <w:rsid w:val="00894AD5"/>
    <w:rsid w:val="00894D27"/>
    <w:rsid w:val="00897969"/>
    <w:rsid w:val="00897AC2"/>
    <w:rsid w:val="008A0293"/>
    <w:rsid w:val="008A1871"/>
    <w:rsid w:val="008A2512"/>
    <w:rsid w:val="008A32F8"/>
    <w:rsid w:val="008A6B22"/>
    <w:rsid w:val="008A7A94"/>
    <w:rsid w:val="008A7FDA"/>
    <w:rsid w:val="008B178F"/>
    <w:rsid w:val="008B23FE"/>
    <w:rsid w:val="008B3B55"/>
    <w:rsid w:val="008B4C3B"/>
    <w:rsid w:val="008B5394"/>
    <w:rsid w:val="008B570A"/>
    <w:rsid w:val="008B74A8"/>
    <w:rsid w:val="008C1EA9"/>
    <w:rsid w:val="008C20A9"/>
    <w:rsid w:val="008C2DDC"/>
    <w:rsid w:val="008C4B15"/>
    <w:rsid w:val="008C58C7"/>
    <w:rsid w:val="008C687B"/>
    <w:rsid w:val="008C6B0C"/>
    <w:rsid w:val="008C7258"/>
    <w:rsid w:val="008C737E"/>
    <w:rsid w:val="008C79C4"/>
    <w:rsid w:val="008C7E59"/>
    <w:rsid w:val="008D0687"/>
    <w:rsid w:val="008D1A86"/>
    <w:rsid w:val="008D1C0A"/>
    <w:rsid w:val="008D2E12"/>
    <w:rsid w:val="008D5CC0"/>
    <w:rsid w:val="008D707A"/>
    <w:rsid w:val="008E10C8"/>
    <w:rsid w:val="008E26A4"/>
    <w:rsid w:val="008E4613"/>
    <w:rsid w:val="008E4A61"/>
    <w:rsid w:val="008E5039"/>
    <w:rsid w:val="008F01D9"/>
    <w:rsid w:val="008F2A40"/>
    <w:rsid w:val="008F3F36"/>
    <w:rsid w:val="008F452A"/>
    <w:rsid w:val="008F5B46"/>
    <w:rsid w:val="008F5D48"/>
    <w:rsid w:val="008F60E8"/>
    <w:rsid w:val="008F618A"/>
    <w:rsid w:val="008F675C"/>
    <w:rsid w:val="008F786E"/>
    <w:rsid w:val="008F7BB1"/>
    <w:rsid w:val="0090104B"/>
    <w:rsid w:val="00901F1D"/>
    <w:rsid w:val="0090210E"/>
    <w:rsid w:val="0090215B"/>
    <w:rsid w:val="009029B4"/>
    <w:rsid w:val="00902CB3"/>
    <w:rsid w:val="009043CC"/>
    <w:rsid w:val="00906D82"/>
    <w:rsid w:val="00907169"/>
    <w:rsid w:val="009105D1"/>
    <w:rsid w:val="00912393"/>
    <w:rsid w:val="00912BF6"/>
    <w:rsid w:val="00915306"/>
    <w:rsid w:val="00915ABE"/>
    <w:rsid w:val="00915B87"/>
    <w:rsid w:val="00916E00"/>
    <w:rsid w:val="00917ECB"/>
    <w:rsid w:val="00923528"/>
    <w:rsid w:val="00924094"/>
    <w:rsid w:val="00924CD4"/>
    <w:rsid w:val="00924CE4"/>
    <w:rsid w:val="00927624"/>
    <w:rsid w:val="00930689"/>
    <w:rsid w:val="00930BD2"/>
    <w:rsid w:val="00931608"/>
    <w:rsid w:val="0093304E"/>
    <w:rsid w:val="00933955"/>
    <w:rsid w:val="0093406B"/>
    <w:rsid w:val="00934CDD"/>
    <w:rsid w:val="00935342"/>
    <w:rsid w:val="0093564D"/>
    <w:rsid w:val="00936682"/>
    <w:rsid w:val="00936DAD"/>
    <w:rsid w:val="0093764E"/>
    <w:rsid w:val="00940578"/>
    <w:rsid w:val="00942746"/>
    <w:rsid w:val="00946BC7"/>
    <w:rsid w:val="00947FDF"/>
    <w:rsid w:val="00950E5A"/>
    <w:rsid w:val="00952EA7"/>
    <w:rsid w:val="00953CAC"/>
    <w:rsid w:val="00954244"/>
    <w:rsid w:val="0095600F"/>
    <w:rsid w:val="00957235"/>
    <w:rsid w:val="009609F3"/>
    <w:rsid w:val="009617EB"/>
    <w:rsid w:val="00961920"/>
    <w:rsid w:val="00962567"/>
    <w:rsid w:val="00962B76"/>
    <w:rsid w:val="0096356E"/>
    <w:rsid w:val="00963DD0"/>
    <w:rsid w:val="009650B7"/>
    <w:rsid w:val="00965670"/>
    <w:rsid w:val="00966290"/>
    <w:rsid w:val="00967ADA"/>
    <w:rsid w:val="00967BD4"/>
    <w:rsid w:val="00970148"/>
    <w:rsid w:val="009709A4"/>
    <w:rsid w:val="0097182F"/>
    <w:rsid w:val="00971892"/>
    <w:rsid w:val="00972262"/>
    <w:rsid w:val="00973153"/>
    <w:rsid w:val="0097325D"/>
    <w:rsid w:val="00974565"/>
    <w:rsid w:val="0097475C"/>
    <w:rsid w:val="00976D04"/>
    <w:rsid w:val="009774A9"/>
    <w:rsid w:val="00980714"/>
    <w:rsid w:val="00982B89"/>
    <w:rsid w:val="00983F92"/>
    <w:rsid w:val="0098409A"/>
    <w:rsid w:val="00985A90"/>
    <w:rsid w:val="00987DBD"/>
    <w:rsid w:val="00990A53"/>
    <w:rsid w:val="00992CC3"/>
    <w:rsid w:val="00993018"/>
    <w:rsid w:val="00993DED"/>
    <w:rsid w:val="00994DD3"/>
    <w:rsid w:val="00994FD7"/>
    <w:rsid w:val="00996F1C"/>
    <w:rsid w:val="009A063A"/>
    <w:rsid w:val="009A3027"/>
    <w:rsid w:val="009A6218"/>
    <w:rsid w:val="009C045D"/>
    <w:rsid w:val="009C2295"/>
    <w:rsid w:val="009C2D15"/>
    <w:rsid w:val="009C2E5E"/>
    <w:rsid w:val="009C346A"/>
    <w:rsid w:val="009C378C"/>
    <w:rsid w:val="009D19BC"/>
    <w:rsid w:val="009D1FF5"/>
    <w:rsid w:val="009D6F60"/>
    <w:rsid w:val="009E0023"/>
    <w:rsid w:val="009E2620"/>
    <w:rsid w:val="009E334E"/>
    <w:rsid w:val="009E511C"/>
    <w:rsid w:val="009E538F"/>
    <w:rsid w:val="009E7883"/>
    <w:rsid w:val="009F03B4"/>
    <w:rsid w:val="009F321B"/>
    <w:rsid w:val="009F39F1"/>
    <w:rsid w:val="009F628E"/>
    <w:rsid w:val="009F7FCB"/>
    <w:rsid w:val="00A01806"/>
    <w:rsid w:val="00A01D6F"/>
    <w:rsid w:val="00A01DDF"/>
    <w:rsid w:val="00A02344"/>
    <w:rsid w:val="00A026C8"/>
    <w:rsid w:val="00A03347"/>
    <w:rsid w:val="00A03B84"/>
    <w:rsid w:val="00A074F9"/>
    <w:rsid w:val="00A12876"/>
    <w:rsid w:val="00A13212"/>
    <w:rsid w:val="00A143D8"/>
    <w:rsid w:val="00A15462"/>
    <w:rsid w:val="00A15B53"/>
    <w:rsid w:val="00A16C3C"/>
    <w:rsid w:val="00A22C41"/>
    <w:rsid w:val="00A22D9E"/>
    <w:rsid w:val="00A24DBF"/>
    <w:rsid w:val="00A24F13"/>
    <w:rsid w:val="00A25AB2"/>
    <w:rsid w:val="00A2733E"/>
    <w:rsid w:val="00A275DF"/>
    <w:rsid w:val="00A27A9C"/>
    <w:rsid w:val="00A27E1D"/>
    <w:rsid w:val="00A3107B"/>
    <w:rsid w:val="00A328CC"/>
    <w:rsid w:val="00A32C60"/>
    <w:rsid w:val="00A35964"/>
    <w:rsid w:val="00A35B97"/>
    <w:rsid w:val="00A36EC0"/>
    <w:rsid w:val="00A40E00"/>
    <w:rsid w:val="00A428DF"/>
    <w:rsid w:val="00A42992"/>
    <w:rsid w:val="00A4356F"/>
    <w:rsid w:val="00A47FB9"/>
    <w:rsid w:val="00A504BC"/>
    <w:rsid w:val="00A50CCA"/>
    <w:rsid w:val="00A53406"/>
    <w:rsid w:val="00A53F5B"/>
    <w:rsid w:val="00A559FF"/>
    <w:rsid w:val="00A561D8"/>
    <w:rsid w:val="00A56629"/>
    <w:rsid w:val="00A57D32"/>
    <w:rsid w:val="00A627B2"/>
    <w:rsid w:val="00A6408D"/>
    <w:rsid w:val="00A65BA9"/>
    <w:rsid w:val="00A67DF0"/>
    <w:rsid w:val="00A67E6F"/>
    <w:rsid w:val="00A70F14"/>
    <w:rsid w:val="00A7185C"/>
    <w:rsid w:val="00A71982"/>
    <w:rsid w:val="00A71E88"/>
    <w:rsid w:val="00A7248C"/>
    <w:rsid w:val="00A72D33"/>
    <w:rsid w:val="00A72D4B"/>
    <w:rsid w:val="00A75543"/>
    <w:rsid w:val="00A75E78"/>
    <w:rsid w:val="00A802F5"/>
    <w:rsid w:val="00A8075B"/>
    <w:rsid w:val="00A809C6"/>
    <w:rsid w:val="00A81214"/>
    <w:rsid w:val="00A825EB"/>
    <w:rsid w:val="00A8346C"/>
    <w:rsid w:val="00A84777"/>
    <w:rsid w:val="00A85495"/>
    <w:rsid w:val="00A856AB"/>
    <w:rsid w:val="00A866BE"/>
    <w:rsid w:val="00A86E8A"/>
    <w:rsid w:val="00A87172"/>
    <w:rsid w:val="00A90BE7"/>
    <w:rsid w:val="00A942F2"/>
    <w:rsid w:val="00A94FF1"/>
    <w:rsid w:val="00AA055C"/>
    <w:rsid w:val="00AA2DFB"/>
    <w:rsid w:val="00AA36C8"/>
    <w:rsid w:val="00AA690C"/>
    <w:rsid w:val="00AA6A16"/>
    <w:rsid w:val="00AA6E2C"/>
    <w:rsid w:val="00AB0C2A"/>
    <w:rsid w:val="00AB19A0"/>
    <w:rsid w:val="00AB3B7C"/>
    <w:rsid w:val="00AB4C26"/>
    <w:rsid w:val="00AC24D7"/>
    <w:rsid w:val="00AC25B2"/>
    <w:rsid w:val="00AC3A2E"/>
    <w:rsid w:val="00AC7ECC"/>
    <w:rsid w:val="00AC7EF4"/>
    <w:rsid w:val="00AD0544"/>
    <w:rsid w:val="00AD1348"/>
    <w:rsid w:val="00AD1C87"/>
    <w:rsid w:val="00AD30CC"/>
    <w:rsid w:val="00AD36FD"/>
    <w:rsid w:val="00AD3DBB"/>
    <w:rsid w:val="00AD43B6"/>
    <w:rsid w:val="00AD701D"/>
    <w:rsid w:val="00AE0509"/>
    <w:rsid w:val="00AE060D"/>
    <w:rsid w:val="00AE0919"/>
    <w:rsid w:val="00AE319A"/>
    <w:rsid w:val="00AE37F4"/>
    <w:rsid w:val="00AE505A"/>
    <w:rsid w:val="00AE55EC"/>
    <w:rsid w:val="00AE5BC2"/>
    <w:rsid w:val="00AE5E5B"/>
    <w:rsid w:val="00AE6630"/>
    <w:rsid w:val="00AF08D9"/>
    <w:rsid w:val="00AF0F47"/>
    <w:rsid w:val="00AF1B0C"/>
    <w:rsid w:val="00AF1E0E"/>
    <w:rsid w:val="00AF2E2D"/>
    <w:rsid w:val="00AF2E9E"/>
    <w:rsid w:val="00AF3D71"/>
    <w:rsid w:val="00AF55A5"/>
    <w:rsid w:val="00AF74BF"/>
    <w:rsid w:val="00B00EFA"/>
    <w:rsid w:val="00B01DC8"/>
    <w:rsid w:val="00B0225A"/>
    <w:rsid w:val="00B051EE"/>
    <w:rsid w:val="00B05CD8"/>
    <w:rsid w:val="00B07DF3"/>
    <w:rsid w:val="00B07EBF"/>
    <w:rsid w:val="00B11CD7"/>
    <w:rsid w:val="00B14F97"/>
    <w:rsid w:val="00B170C3"/>
    <w:rsid w:val="00B204ED"/>
    <w:rsid w:val="00B208D0"/>
    <w:rsid w:val="00B20933"/>
    <w:rsid w:val="00B24721"/>
    <w:rsid w:val="00B26544"/>
    <w:rsid w:val="00B30A32"/>
    <w:rsid w:val="00B3140A"/>
    <w:rsid w:val="00B31994"/>
    <w:rsid w:val="00B34E9C"/>
    <w:rsid w:val="00B3515F"/>
    <w:rsid w:val="00B352E0"/>
    <w:rsid w:val="00B35956"/>
    <w:rsid w:val="00B3612A"/>
    <w:rsid w:val="00B36857"/>
    <w:rsid w:val="00B36902"/>
    <w:rsid w:val="00B44CB4"/>
    <w:rsid w:val="00B44E23"/>
    <w:rsid w:val="00B4555B"/>
    <w:rsid w:val="00B46558"/>
    <w:rsid w:val="00B46806"/>
    <w:rsid w:val="00B47B8B"/>
    <w:rsid w:val="00B507BE"/>
    <w:rsid w:val="00B5134E"/>
    <w:rsid w:val="00B51E81"/>
    <w:rsid w:val="00B52A87"/>
    <w:rsid w:val="00B52F84"/>
    <w:rsid w:val="00B53233"/>
    <w:rsid w:val="00B554EE"/>
    <w:rsid w:val="00B55B23"/>
    <w:rsid w:val="00B5639D"/>
    <w:rsid w:val="00B563C4"/>
    <w:rsid w:val="00B62639"/>
    <w:rsid w:val="00B628E8"/>
    <w:rsid w:val="00B662E2"/>
    <w:rsid w:val="00B66797"/>
    <w:rsid w:val="00B71516"/>
    <w:rsid w:val="00B7205E"/>
    <w:rsid w:val="00B75350"/>
    <w:rsid w:val="00B76193"/>
    <w:rsid w:val="00B7790E"/>
    <w:rsid w:val="00B81031"/>
    <w:rsid w:val="00B811AA"/>
    <w:rsid w:val="00B811C1"/>
    <w:rsid w:val="00B81B0D"/>
    <w:rsid w:val="00B82CE4"/>
    <w:rsid w:val="00B8477B"/>
    <w:rsid w:val="00B8530B"/>
    <w:rsid w:val="00B908B3"/>
    <w:rsid w:val="00B90A61"/>
    <w:rsid w:val="00B92723"/>
    <w:rsid w:val="00B9531F"/>
    <w:rsid w:val="00B95DB2"/>
    <w:rsid w:val="00B95EA6"/>
    <w:rsid w:val="00B96E8F"/>
    <w:rsid w:val="00B9727D"/>
    <w:rsid w:val="00B973F9"/>
    <w:rsid w:val="00BA0B05"/>
    <w:rsid w:val="00BA12C3"/>
    <w:rsid w:val="00BA17C6"/>
    <w:rsid w:val="00BA1A64"/>
    <w:rsid w:val="00BA2922"/>
    <w:rsid w:val="00BA4FC6"/>
    <w:rsid w:val="00BA56D2"/>
    <w:rsid w:val="00BB1BF1"/>
    <w:rsid w:val="00BB1E32"/>
    <w:rsid w:val="00BB3A26"/>
    <w:rsid w:val="00BB5260"/>
    <w:rsid w:val="00BB54CB"/>
    <w:rsid w:val="00BB5D24"/>
    <w:rsid w:val="00BB5EDD"/>
    <w:rsid w:val="00BB63F9"/>
    <w:rsid w:val="00BC1A35"/>
    <w:rsid w:val="00BC1A36"/>
    <w:rsid w:val="00BC3590"/>
    <w:rsid w:val="00BC3949"/>
    <w:rsid w:val="00BC4051"/>
    <w:rsid w:val="00BD335F"/>
    <w:rsid w:val="00BD479F"/>
    <w:rsid w:val="00BD4CE9"/>
    <w:rsid w:val="00BD588D"/>
    <w:rsid w:val="00BD631E"/>
    <w:rsid w:val="00BE0B3A"/>
    <w:rsid w:val="00BE1076"/>
    <w:rsid w:val="00BE56CD"/>
    <w:rsid w:val="00BE609B"/>
    <w:rsid w:val="00BE69E8"/>
    <w:rsid w:val="00BE6C0A"/>
    <w:rsid w:val="00BE7F55"/>
    <w:rsid w:val="00BF1321"/>
    <w:rsid w:val="00BF1372"/>
    <w:rsid w:val="00BF540C"/>
    <w:rsid w:val="00BF7168"/>
    <w:rsid w:val="00C010C4"/>
    <w:rsid w:val="00C02D25"/>
    <w:rsid w:val="00C04204"/>
    <w:rsid w:val="00C04C71"/>
    <w:rsid w:val="00C05619"/>
    <w:rsid w:val="00C06939"/>
    <w:rsid w:val="00C06A22"/>
    <w:rsid w:val="00C06BDC"/>
    <w:rsid w:val="00C1032D"/>
    <w:rsid w:val="00C10B28"/>
    <w:rsid w:val="00C10D35"/>
    <w:rsid w:val="00C11591"/>
    <w:rsid w:val="00C11F7B"/>
    <w:rsid w:val="00C12FF0"/>
    <w:rsid w:val="00C13199"/>
    <w:rsid w:val="00C140A3"/>
    <w:rsid w:val="00C14C1A"/>
    <w:rsid w:val="00C14E08"/>
    <w:rsid w:val="00C15A8E"/>
    <w:rsid w:val="00C15F17"/>
    <w:rsid w:val="00C17359"/>
    <w:rsid w:val="00C17B63"/>
    <w:rsid w:val="00C17CB4"/>
    <w:rsid w:val="00C224BD"/>
    <w:rsid w:val="00C2429A"/>
    <w:rsid w:val="00C253B9"/>
    <w:rsid w:val="00C258C3"/>
    <w:rsid w:val="00C26045"/>
    <w:rsid w:val="00C26712"/>
    <w:rsid w:val="00C27896"/>
    <w:rsid w:val="00C33D11"/>
    <w:rsid w:val="00C37AD6"/>
    <w:rsid w:val="00C403F1"/>
    <w:rsid w:val="00C40F42"/>
    <w:rsid w:val="00C4352C"/>
    <w:rsid w:val="00C4717F"/>
    <w:rsid w:val="00C52A82"/>
    <w:rsid w:val="00C569EE"/>
    <w:rsid w:val="00C574C1"/>
    <w:rsid w:val="00C6185E"/>
    <w:rsid w:val="00C627CB"/>
    <w:rsid w:val="00C628F6"/>
    <w:rsid w:val="00C63720"/>
    <w:rsid w:val="00C638EF"/>
    <w:rsid w:val="00C65D2C"/>
    <w:rsid w:val="00C6628D"/>
    <w:rsid w:val="00C6631B"/>
    <w:rsid w:val="00C67A93"/>
    <w:rsid w:val="00C707C9"/>
    <w:rsid w:val="00C70E91"/>
    <w:rsid w:val="00C712F2"/>
    <w:rsid w:val="00C71E5B"/>
    <w:rsid w:val="00C72F1E"/>
    <w:rsid w:val="00C732C3"/>
    <w:rsid w:val="00C73DE0"/>
    <w:rsid w:val="00C75184"/>
    <w:rsid w:val="00C7590F"/>
    <w:rsid w:val="00C77E92"/>
    <w:rsid w:val="00C869FA"/>
    <w:rsid w:val="00C874E3"/>
    <w:rsid w:val="00C8778B"/>
    <w:rsid w:val="00C87892"/>
    <w:rsid w:val="00C90450"/>
    <w:rsid w:val="00C90A4C"/>
    <w:rsid w:val="00C92829"/>
    <w:rsid w:val="00C92FF0"/>
    <w:rsid w:val="00C9396E"/>
    <w:rsid w:val="00C95E8B"/>
    <w:rsid w:val="00C97645"/>
    <w:rsid w:val="00CA04F9"/>
    <w:rsid w:val="00CA0824"/>
    <w:rsid w:val="00CA0FF9"/>
    <w:rsid w:val="00CA70FF"/>
    <w:rsid w:val="00CB122B"/>
    <w:rsid w:val="00CB20AA"/>
    <w:rsid w:val="00CB2318"/>
    <w:rsid w:val="00CB2651"/>
    <w:rsid w:val="00CB33AE"/>
    <w:rsid w:val="00CB3B52"/>
    <w:rsid w:val="00CB4744"/>
    <w:rsid w:val="00CB4745"/>
    <w:rsid w:val="00CB5D17"/>
    <w:rsid w:val="00CB62A0"/>
    <w:rsid w:val="00CB65B8"/>
    <w:rsid w:val="00CB6F4E"/>
    <w:rsid w:val="00CB771A"/>
    <w:rsid w:val="00CB79BF"/>
    <w:rsid w:val="00CB7EF7"/>
    <w:rsid w:val="00CC262D"/>
    <w:rsid w:val="00CC3F58"/>
    <w:rsid w:val="00CC3FE1"/>
    <w:rsid w:val="00CC44F9"/>
    <w:rsid w:val="00CC6CCA"/>
    <w:rsid w:val="00CD05FA"/>
    <w:rsid w:val="00CD1ED2"/>
    <w:rsid w:val="00CD37CB"/>
    <w:rsid w:val="00CD44DF"/>
    <w:rsid w:val="00CD5679"/>
    <w:rsid w:val="00CD65CF"/>
    <w:rsid w:val="00CD69AF"/>
    <w:rsid w:val="00CD78CB"/>
    <w:rsid w:val="00CE0950"/>
    <w:rsid w:val="00CE18EE"/>
    <w:rsid w:val="00CE4622"/>
    <w:rsid w:val="00CE4786"/>
    <w:rsid w:val="00CE67DA"/>
    <w:rsid w:val="00CE6E6A"/>
    <w:rsid w:val="00CE76FC"/>
    <w:rsid w:val="00CE7C3E"/>
    <w:rsid w:val="00CF1008"/>
    <w:rsid w:val="00CF1A8C"/>
    <w:rsid w:val="00CF1C8B"/>
    <w:rsid w:val="00CF26E0"/>
    <w:rsid w:val="00CF35D9"/>
    <w:rsid w:val="00CF43D4"/>
    <w:rsid w:val="00CF65C5"/>
    <w:rsid w:val="00D0090C"/>
    <w:rsid w:val="00D00ED2"/>
    <w:rsid w:val="00D012E8"/>
    <w:rsid w:val="00D0294E"/>
    <w:rsid w:val="00D03486"/>
    <w:rsid w:val="00D0429C"/>
    <w:rsid w:val="00D04EAA"/>
    <w:rsid w:val="00D05E53"/>
    <w:rsid w:val="00D07F16"/>
    <w:rsid w:val="00D1033E"/>
    <w:rsid w:val="00D11B20"/>
    <w:rsid w:val="00D152CD"/>
    <w:rsid w:val="00D1554F"/>
    <w:rsid w:val="00D15FA5"/>
    <w:rsid w:val="00D2129F"/>
    <w:rsid w:val="00D22695"/>
    <w:rsid w:val="00D23A7D"/>
    <w:rsid w:val="00D23C17"/>
    <w:rsid w:val="00D24AB3"/>
    <w:rsid w:val="00D24C07"/>
    <w:rsid w:val="00D26A06"/>
    <w:rsid w:val="00D301A1"/>
    <w:rsid w:val="00D30DD2"/>
    <w:rsid w:val="00D318E6"/>
    <w:rsid w:val="00D31ED6"/>
    <w:rsid w:val="00D320D2"/>
    <w:rsid w:val="00D326B1"/>
    <w:rsid w:val="00D33F35"/>
    <w:rsid w:val="00D367F8"/>
    <w:rsid w:val="00D373D3"/>
    <w:rsid w:val="00D41580"/>
    <w:rsid w:val="00D41D04"/>
    <w:rsid w:val="00D46430"/>
    <w:rsid w:val="00D4686A"/>
    <w:rsid w:val="00D478DD"/>
    <w:rsid w:val="00D50A33"/>
    <w:rsid w:val="00D51B71"/>
    <w:rsid w:val="00D52965"/>
    <w:rsid w:val="00D5490E"/>
    <w:rsid w:val="00D565EB"/>
    <w:rsid w:val="00D56EBD"/>
    <w:rsid w:val="00D60638"/>
    <w:rsid w:val="00D65AC5"/>
    <w:rsid w:val="00D6612B"/>
    <w:rsid w:val="00D67456"/>
    <w:rsid w:val="00D70EA1"/>
    <w:rsid w:val="00D71B66"/>
    <w:rsid w:val="00D71D78"/>
    <w:rsid w:val="00D72053"/>
    <w:rsid w:val="00D73392"/>
    <w:rsid w:val="00D73A9B"/>
    <w:rsid w:val="00D7415B"/>
    <w:rsid w:val="00D74F49"/>
    <w:rsid w:val="00D77AE4"/>
    <w:rsid w:val="00D77F38"/>
    <w:rsid w:val="00D83B06"/>
    <w:rsid w:val="00D84CDB"/>
    <w:rsid w:val="00D85339"/>
    <w:rsid w:val="00D9149B"/>
    <w:rsid w:val="00D9156B"/>
    <w:rsid w:val="00D91625"/>
    <w:rsid w:val="00D92F19"/>
    <w:rsid w:val="00D94B25"/>
    <w:rsid w:val="00D96182"/>
    <w:rsid w:val="00D97132"/>
    <w:rsid w:val="00D97BC6"/>
    <w:rsid w:val="00D97E20"/>
    <w:rsid w:val="00DA2EF6"/>
    <w:rsid w:val="00DA3506"/>
    <w:rsid w:val="00DA3A14"/>
    <w:rsid w:val="00DA49C3"/>
    <w:rsid w:val="00DA51CE"/>
    <w:rsid w:val="00DA564F"/>
    <w:rsid w:val="00DA5778"/>
    <w:rsid w:val="00DA5F9F"/>
    <w:rsid w:val="00DA7063"/>
    <w:rsid w:val="00DA71CE"/>
    <w:rsid w:val="00DB14C4"/>
    <w:rsid w:val="00DB1E14"/>
    <w:rsid w:val="00DB377D"/>
    <w:rsid w:val="00DB39A5"/>
    <w:rsid w:val="00DB46BC"/>
    <w:rsid w:val="00DC0796"/>
    <w:rsid w:val="00DC09EA"/>
    <w:rsid w:val="00DC0DA3"/>
    <w:rsid w:val="00DC1BAD"/>
    <w:rsid w:val="00DC2057"/>
    <w:rsid w:val="00DC237F"/>
    <w:rsid w:val="00DC43B1"/>
    <w:rsid w:val="00DC4D42"/>
    <w:rsid w:val="00DD097D"/>
    <w:rsid w:val="00DD2E87"/>
    <w:rsid w:val="00DD3AA2"/>
    <w:rsid w:val="00DD5EB8"/>
    <w:rsid w:val="00DD628E"/>
    <w:rsid w:val="00DD6CFF"/>
    <w:rsid w:val="00DD71EF"/>
    <w:rsid w:val="00DD7A46"/>
    <w:rsid w:val="00DD7AEB"/>
    <w:rsid w:val="00DD7C5F"/>
    <w:rsid w:val="00DE0B9B"/>
    <w:rsid w:val="00DE0CFE"/>
    <w:rsid w:val="00DE1934"/>
    <w:rsid w:val="00DE2715"/>
    <w:rsid w:val="00DE36B1"/>
    <w:rsid w:val="00DE420D"/>
    <w:rsid w:val="00DE6497"/>
    <w:rsid w:val="00DF129C"/>
    <w:rsid w:val="00DF19A4"/>
    <w:rsid w:val="00DF2E8B"/>
    <w:rsid w:val="00DF353F"/>
    <w:rsid w:val="00DF3F30"/>
    <w:rsid w:val="00DF3F8C"/>
    <w:rsid w:val="00DF4857"/>
    <w:rsid w:val="00E00C72"/>
    <w:rsid w:val="00E01298"/>
    <w:rsid w:val="00E032E2"/>
    <w:rsid w:val="00E0470D"/>
    <w:rsid w:val="00E0697C"/>
    <w:rsid w:val="00E06C67"/>
    <w:rsid w:val="00E1044F"/>
    <w:rsid w:val="00E11380"/>
    <w:rsid w:val="00E16117"/>
    <w:rsid w:val="00E16FFB"/>
    <w:rsid w:val="00E2007F"/>
    <w:rsid w:val="00E26BF2"/>
    <w:rsid w:val="00E278CD"/>
    <w:rsid w:val="00E305A1"/>
    <w:rsid w:val="00E36930"/>
    <w:rsid w:val="00E36ABC"/>
    <w:rsid w:val="00E36EED"/>
    <w:rsid w:val="00E425EF"/>
    <w:rsid w:val="00E435A1"/>
    <w:rsid w:val="00E4470F"/>
    <w:rsid w:val="00E45082"/>
    <w:rsid w:val="00E47183"/>
    <w:rsid w:val="00E47A82"/>
    <w:rsid w:val="00E508E5"/>
    <w:rsid w:val="00E50FCB"/>
    <w:rsid w:val="00E54CCD"/>
    <w:rsid w:val="00E55969"/>
    <w:rsid w:val="00E56095"/>
    <w:rsid w:val="00E57CAA"/>
    <w:rsid w:val="00E6009E"/>
    <w:rsid w:val="00E60D1E"/>
    <w:rsid w:val="00E61111"/>
    <w:rsid w:val="00E640A7"/>
    <w:rsid w:val="00E640D1"/>
    <w:rsid w:val="00E71D65"/>
    <w:rsid w:val="00E73138"/>
    <w:rsid w:val="00E7505E"/>
    <w:rsid w:val="00E7578E"/>
    <w:rsid w:val="00E75900"/>
    <w:rsid w:val="00E7604B"/>
    <w:rsid w:val="00E77BD5"/>
    <w:rsid w:val="00E808AB"/>
    <w:rsid w:val="00E80A01"/>
    <w:rsid w:val="00E81C5E"/>
    <w:rsid w:val="00E81F6D"/>
    <w:rsid w:val="00E82026"/>
    <w:rsid w:val="00E8203D"/>
    <w:rsid w:val="00E82779"/>
    <w:rsid w:val="00E838E5"/>
    <w:rsid w:val="00E83AD9"/>
    <w:rsid w:val="00E83ADE"/>
    <w:rsid w:val="00E8624E"/>
    <w:rsid w:val="00E87467"/>
    <w:rsid w:val="00E9212C"/>
    <w:rsid w:val="00E93962"/>
    <w:rsid w:val="00E93F32"/>
    <w:rsid w:val="00E946EA"/>
    <w:rsid w:val="00E95A54"/>
    <w:rsid w:val="00E97F35"/>
    <w:rsid w:val="00EA147E"/>
    <w:rsid w:val="00EA1B5D"/>
    <w:rsid w:val="00EA3853"/>
    <w:rsid w:val="00EA3B42"/>
    <w:rsid w:val="00EA72E7"/>
    <w:rsid w:val="00EB18B0"/>
    <w:rsid w:val="00EB23BE"/>
    <w:rsid w:val="00EB2560"/>
    <w:rsid w:val="00EB25D2"/>
    <w:rsid w:val="00EB42A5"/>
    <w:rsid w:val="00EB528A"/>
    <w:rsid w:val="00EB78F6"/>
    <w:rsid w:val="00EB79E1"/>
    <w:rsid w:val="00EC1687"/>
    <w:rsid w:val="00EC5366"/>
    <w:rsid w:val="00ED013B"/>
    <w:rsid w:val="00ED035E"/>
    <w:rsid w:val="00ED0C23"/>
    <w:rsid w:val="00ED106A"/>
    <w:rsid w:val="00ED21FA"/>
    <w:rsid w:val="00ED23A8"/>
    <w:rsid w:val="00ED475D"/>
    <w:rsid w:val="00ED5813"/>
    <w:rsid w:val="00ED6224"/>
    <w:rsid w:val="00ED716D"/>
    <w:rsid w:val="00EE3A34"/>
    <w:rsid w:val="00EE427C"/>
    <w:rsid w:val="00EE5986"/>
    <w:rsid w:val="00EE62B3"/>
    <w:rsid w:val="00EF053D"/>
    <w:rsid w:val="00EF1690"/>
    <w:rsid w:val="00EF1E83"/>
    <w:rsid w:val="00EF1EDB"/>
    <w:rsid w:val="00EF23DA"/>
    <w:rsid w:val="00EF2B4D"/>
    <w:rsid w:val="00EF39E2"/>
    <w:rsid w:val="00EF5DAF"/>
    <w:rsid w:val="00EF607A"/>
    <w:rsid w:val="00EF785A"/>
    <w:rsid w:val="00F00361"/>
    <w:rsid w:val="00F0075E"/>
    <w:rsid w:val="00F0424D"/>
    <w:rsid w:val="00F043EE"/>
    <w:rsid w:val="00F05633"/>
    <w:rsid w:val="00F06FF6"/>
    <w:rsid w:val="00F10A04"/>
    <w:rsid w:val="00F11587"/>
    <w:rsid w:val="00F14334"/>
    <w:rsid w:val="00F14ED5"/>
    <w:rsid w:val="00F2161D"/>
    <w:rsid w:val="00F2164C"/>
    <w:rsid w:val="00F22396"/>
    <w:rsid w:val="00F2268C"/>
    <w:rsid w:val="00F22739"/>
    <w:rsid w:val="00F2451B"/>
    <w:rsid w:val="00F24AA3"/>
    <w:rsid w:val="00F25ABF"/>
    <w:rsid w:val="00F26AF5"/>
    <w:rsid w:val="00F271C5"/>
    <w:rsid w:val="00F308DD"/>
    <w:rsid w:val="00F31199"/>
    <w:rsid w:val="00F3309F"/>
    <w:rsid w:val="00F33211"/>
    <w:rsid w:val="00F351B6"/>
    <w:rsid w:val="00F35AA5"/>
    <w:rsid w:val="00F364CD"/>
    <w:rsid w:val="00F37D40"/>
    <w:rsid w:val="00F40BAA"/>
    <w:rsid w:val="00F41443"/>
    <w:rsid w:val="00F41DF5"/>
    <w:rsid w:val="00F42EAC"/>
    <w:rsid w:val="00F474A9"/>
    <w:rsid w:val="00F4796E"/>
    <w:rsid w:val="00F512E9"/>
    <w:rsid w:val="00F51BBF"/>
    <w:rsid w:val="00F52EF5"/>
    <w:rsid w:val="00F54665"/>
    <w:rsid w:val="00F55989"/>
    <w:rsid w:val="00F56518"/>
    <w:rsid w:val="00F56ADA"/>
    <w:rsid w:val="00F57001"/>
    <w:rsid w:val="00F60DCD"/>
    <w:rsid w:val="00F63226"/>
    <w:rsid w:val="00F64D0C"/>
    <w:rsid w:val="00F656BB"/>
    <w:rsid w:val="00F66030"/>
    <w:rsid w:val="00F6762D"/>
    <w:rsid w:val="00F67980"/>
    <w:rsid w:val="00F714C4"/>
    <w:rsid w:val="00F72493"/>
    <w:rsid w:val="00F728F9"/>
    <w:rsid w:val="00F729E5"/>
    <w:rsid w:val="00F7365B"/>
    <w:rsid w:val="00F73A05"/>
    <w:rsid w:val="00F74B4D"/>
    <w:rsid w:val="00F752F0"/>
    <w:rsid w:val="00F75462"/>
    <w:rsid w:val="00F756E5"/>
    <w:rsid w:val="00F804A7"/>
    <w:rsid w:val="00F84AB4"/>
    <w:rsid w:val="00F87CB7"/>
    <w:rsid w:val="00F90986"/>
    <w:rsid w:val="00F938C6"/>
    <w:rsid w:val="00F94126"/>
    <w:rsid w:val="00F95650"/>
    <w:rsid w:val="00F96BF8"/>
    <w:rsid w:val="00FA1736"/>
    <w:rsid w:val="00FA1AB1"/>
    <w:rsid w:val="00FA251C"/>
    <w:rsid w:val="00FA5009"/>
    <w:rsid w:val="00FA5343"/>
    <w:rsid w:val="00FA6122"/>
    <w:rsid w:val="00FB09BB"/>
    <w:rsid w:val="00FB22B6"/>
    <w:rsid w:val="00FB4A57"/>
    <w:rsid w:val="00FB519A"/>
    <w:rsid w:val="00FB56AC"/>
    <w:rsid w:val="00FB60C5"/>
    <w:rsid w:val="00FC2BCA"/>
    <w:rsid w:val="00FC2F54"/>
    <w:rsid w:val="00FC3EA5"/>
    <w:rsid w:val="00FD0D01"/>
    <w:rsid w:val="00FD0E1B"/>
    <w:rsid w:val="00FD2533"/>
    <w:rsid w:val="00FD3B31"/>
    <w:rsid w:val="00FD4350"/>
    <w:rsid w:val="00FD714E"/>
    <w:rsid w:val="00FD7992"/>
    <w:rsid w:val="00FE04A5"/>
    <w:rsid w:val="00FE1952"/>
    <w:rsid w:val="00FE35AD"/>
    <w:rsid w:val="00FE3892"/>
    <w:rsid w:val="00FE401A"/>
    <w:rsid w:val="00FF029A"/>
    <w:rsid w:val="00FF2F69"/>
    <w:rsid w:val="00FF3E89"/>
    <w:rsid w:val="00FF5196"/>
    <w:rsid w:val="4533B7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94F"/>
  </w:style>
  <w:style w:type="paragraph" w:styleId="Heading1">
    <w:name w:val="heading 1"/>
    <w:basedOn w:val="Normal"/>
    <w:next w:val="Normal"/>
    <w:link w:val="Heading1Char"/>
    <w:uiPriority w:val="9"/>
    <w:qFormat/>
    <w:rsid w:val="00682F27"/>
    <w:pPr>
      <w:keepNext/>
      <w:keepLines/>
      <w:spacing w:before="240" w:after="0"/>
      <w:jc w:val="both"/>
      <w:outlineLvl w:val="0"/>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3199"/>
    <w:pPr>
      <w:ind w:left="720"/>
      <w:contextualSpacing/>
    </w:pPr>
  </w:style>
  <w:style w:type="paragraph" w:customStyle="1" w:styleId="Default">
    <w:name w:val="Default"/>
    <w:rsid w:val="00C13199"/>
    <w:pPr>
      <w:autoSpaceDE w:val="0"/>
      <w:autoSpaceDN w:val="0"/>
      <w:adjustRightInd w:val="0"/>
      <w:spacing w:after="0" w:line="240" w:lineRule="auto"/>
    </w:pPr>
    <w:rPr>
      <w:rFonts w:ascii="Times New Roman" w:hAnsi="Times New Roman" w:cs="Times New Roman"/>
      <w:color w:val="000000"/>
      <w:szCs w:val="24"/>
    </w:rPr>
  </w:style>
  <w:style w:type="paragraph" w:styleId="Title">
    <w:name w:val="Title"/>
    <w:basedOn w:val="Normal"/>
    <w:next w:val="Normal"/>
    <w:link w:val="TitleChar"/>
    <w:uiPriority w:val="10"/>
    <w:qFormat/>
    <w:rsid w:val="00B908B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08B3"/>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D70EA1"/>
    <w:rPr>
      <w:sz w:val="16"/>
      <w:szCs w:val="16"/>
    </w:rPr>
  </w:style>
  <w:style w:type="paragraph" w:styleId="CommentText">
    <w:name w:val="annotation text"/>
    <w:basedOn w:val="Normal"/>
    <w:link w:val="CommentTextChar"/>
    <w:uiPriority w:val="99"/>
    <w:semiHidden/>
    <w:unhideWhenUsed/>
    <w:rsid w:val="00D70EA1"/>
    <w:pPr>
      <w:spacing w:line="240" w:lineRule="auto"/>
    </w:pPr>
    <w:rPr>
      <w:sz w:val="20"/>
      <w:szCs w:val="20"/>
    </w:rPr>
  </w:style>
  <w:style w:type="character" w:customStyle="1" w:styleId="CommentTextChar">
    <w:name w:val="Comment Text Char"/>
    <w:basedOn w:val="DefaultParagraphFont"/>
    <w:link w:val="CommentText"/>
    <w:uiPriority w:val="99"/>
    <w:semiHidden/>
    <w:rsid w:val="00D70EA1"/>
    <w:rPr>
      <w:sz w:val="20"/>
      <w:szCs w:val="20"/>
    </w:rPr>
  </w:style>
  <w:style w:type="paragraph" w:styleId="CommentSubject">
    <w:name w:val="annotation subject"/>
    <w:basedOn w:val="CommentText"/>
    <w:next w:val="CommentText"/>
    <w:link w:val="CommentSubjectChar"/>
    <w:uiPriority w:val="99"/>
    <w:semiHidden/>
    <w:unhideWhenUsed/>
    <w:rsid w:val="00D70EA1"/>
    <w:rPr>
      <w:b/>
      <w:bCs/>
    </w:rPr>
  </w:style>
  <w:style w:type="character" w:customStyle="1" w:styleId="CommentSubjectChar">
    <w:name w:val="Comment Subject Char"/>
    <w:basedOn w:val="CommentTextChar"/>
    <w:link w:val="CommentSubject"/>
    <w:uiPriority w:val="99"/>
    <w:semiHidden/>
    <w:rsid w:val="00D70EA1"/>
    <w:rPr>
      <w:b/>
      <w:bCs/>
      <w:sz w:val="20"/>
      <w:szCs w:val="20"/>
    </w:rPr>
  </w:style>
  <w:style w:type="table" w:styleId="TableGrid">
    <w:name w:val="Table Grid"/>
    <w:basedOn w:val="TableNormal"/>
    <w:uiPriority w:val="39"/>
    <w:rsid w:val="0067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3478BF"/>
    <w:pPr>
      <w:keepNext/>
      <w:spacing w:after="0" w:line="240" w:lineRule="auto"/>
      <w:ind w:left="-180" w:right="-270"/>
      <w:jc w:val="center"/>
    </w:pPr>
    <w:rPr>
      <w:b/>
      <w:i/>
      <w:iCs/>
      <w:szCs w:val="18"/>
    </w:rPr>
  </w:style>
  <w:style w:type="paragraph" w:styleId="Header">
    <w:name w:val="header"/>
    <w:basedOn w:val="Normal"/>
    <w:link w:val="HeaderChar"/>
    <w:uiPriority w:val="99"/>
    <w:unhideWhenUsed/>
    <w:rsid w:val="007C41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1CB"/>
  </w:style>
  <w:style w:type="paragraph" w:styleId="Footer">
    <w:name w:val="footer"/>
    <w:basedOn w:val="Normal"/>
    <w:link w:val="FooterChar"/>
    <w:uiPriority w:val="99"/>
    <w:unhideWhenUsed/>
    <w:rsid w:val="007C41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1CB"/>
  </w:style>
  <w:style w:type="character" w:styleId="Hyperlink">
    <w:name w:val="Hyperlink"/>
    <w:basedOn w:val="DefaultParagraphFont"/>
    <w:uiPriority w:val="99"/>
    <w:unhideWhenUsed/>
    <w:rsid w:val="00617597"/>
    <w:rPr>
      <w:color w:val="0563C1" w:themeColor="hyperlink"/>
      <w:u w:val="single"/>
    </w:rPr>
  </w:style>
  <w:style w:type="character" w:customStyle="1" w:styleId="UnresolvedMention1">
    <w:name w:val="Unresolved Mention1"/>
    <w:basedOn w:val="DefaultParagraphFont"/>
    <w:uiPriority w:val="99"/>
    <w:semiHidden/>
    <w:unhideWhenUsed/>
    <w:rsid w:val="00617597"/>
    <w:rPr>
      <w:color w:val="605E5C"/>
      <w:shd w:val="clear" w:color="auto" w:fill="E1DFDD"/>
    </w:rPr>
  </w:style>
  <w:style w:type="paragraph" w:styleId="NormalWeb">
    <w:name w:val="Normal (Web)"/>
    <w:basedOn w:val="Normal"/>
    <w:uiPriority w:val="99"/>
    <w:semiHidden/>
    <w:unhideWhenUsed/>
    <w:rsid w:val="00205FFD"/>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1Char">
    <w:name w:val="Heading 1 Char"/>
    <w:basedOn w:val="DefaultParagraphFont"/>
    <w:link w:val="Heading1"/>
    <w:uiPriority w:val="9"/>
    <w:rsid w:val="00682F27"/>
    <w:rPr>
      <w:rFonts w:asciiTheme="majorHAnsi" w:eastAsiaTheme="majorEastAsia" w:hAnsiTheme="majorHAnsi" w:cstheme="majorBidi"/>
      <w:b/>
      <w:bCs/>
      <w:sz w:val="32"/>
      <w:szCs w:val="32"/>
    </w:rPr>
  </w:style>
  <w:style w:type="paragraph" w:styleId="BalloonText">
    <w:name w:val="Balloon Text"/>
    <w:basedOn w:val="Normal"/>
    <w:link w:val="BalloonTextChar"/>
    <w:uiPriority w:val="99"/>
    <w:semiHidden/>
    <w:unhideWhenUsed/>
    <w:rsid w:val="00A67D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D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602086">
      <w:bodyDiv w:val="1"/>
      <w:marLeft w:val="0"/>
      <w:marRight w:val="0"/>
      <w:marTop w:val="0"/>
      <w:marBottom w:val="0"/>
      <w:divBdr>
        <w:top w:val="none" w:sz="0" w:space="0" w:color="auto"/>
        <w:left w:val="none" w:sz="0" w:space="0" w:color="auto"/>
        <w:bottom w:val="none" w:sz="0" w:space="0" w:color="auto"/>
        <w:right w:val="none" w:sz="0" w:space="0" w:color="auto"/>
      </w:divBdr>
    </w:div>
    <w:div w:id="143470985">
      <w:bodyDiv w:val="1"/>
      <w:marLeft w:val="0"/>
      <w:marRight w:val="0"/>
      <w:marTop w:val="0"/>
      <w:marBottom w:val="0"/>
      <w:divBdr>
        <w:top w:val="none" w:sz="0" w:space="0" w:color="auto"/>
        <w:left w:val="none" w:sz="0" w:space="0" w:color="auto"/>
        <w:bottom w:val="none" w:sz="0" w:space="0" w:color="auto"/>
        <w:right w:val="none" w:sz="0" w:space="0" w:color="auto"/>
      </w:divBdr>
    </w:div>
    <w:div w:id="166335826">
      <w:bodyDiv w:val="1"/>
      <w:marLeft w:val="0"/>
      <w:marRight w:val="0"/>
      <w:marTop w:val="0"/>
      <w:marBottom w:val="0"/>
      <w:divBdr>
        <w:top w:val="none" w:sz="0" w:space="0" w:color="auto"/>
        <w:left w:val="none" w:sz="0" w:space="0" w:color="auto"/>
        <w:bottom w:val="none" w:sz="0" w:space="0" w:color="auto"/>
        <w:right w:val="none" w:sz="0" w:space="0" w:color="auto"/>
      </w:divBdr>
    </w:div>
    <w:div w:id="169755469">
      <w:bodyDiv w:val="1"/>
      <w:marLeft w:val="0"/>
      <w:marRight w:val="0"/>
      <w:marTop w:val="0"/>
      <w:marBottom w:val="0"/>
      <w:divBdr>
        <w:top w:val="none" w:sz="0" w:space="0" w:color="auto"/>
        <w:left w:val="none" w:sz="0" w:space="0" w:color="auto"/>
        <w:bottom w:val="none" w:sz="0" w:space="0" w:color="auto"/>
        <w:right w:val="none" w:sz="0" w:space="0" w:color="auto"/>
      </w:divBdr>
    </w:div>
    <w:div w:id="224412440">
      <w:bodyDiv w:val="1"/>
      <w:marLeft w:val="0"/>
      <w:marRight w:val="0"/>
      <w:marTop w:val="0"/>
      <w:marBottom w:val="0"/>
      <w:divBdr>
        <w:top w:val="none" w:sz="0" w:space="0" w:color="auto"/>
        <w:left w:val="none" w:sz="0" w:space="0" w:color="auto"/>
        <w:bottom w:val="none" w:sz="0" w:space="0" w:color="auto"/>
        <w:right w:val="none" w:sz="0" w:space="0" w:color="auto"/>
      </w:divBdr>
    </w:div>
    <w:div w:id="370303326">
      <w:bodyDiv w:val="1"/>
      <w:marLeft w:val="0"/>
      <w:marRight w:val="0"/>
      <w:marTop w:val="0"/>
      <w:marBottom w:val="0"/>
      <w:divBdr>
        <w:top w:val="none" w:sz="0" w:space="0" w:color="auto"/>
        <w:left w:val="none" w:sz="0" w:space="0" w:color="auto"/>
        <w:bottom w:val="none" w:sz="0" w:space="0" w:color="auto"/>
        <w:right w:val="none" w:sz="0" w:space="0" w:color="auto"/>
      </w:divBdr>
    </w:div>
    <w:div w:id="439838568">
      <w:bodyDiv w:val="1"/>
      <w:marLeft w:val="0"/>
      <w:marRight w:val="0"/>
      <w:marTop w:val="0"/>
      <w:marBottom w:val="0"/>
      <w:divBdr>
        <w:top w:val="none" w:sz="0" w:space="0" w:color="auto"/>
        <w:left w:val="none" w:sz="0" w:space="0" w:color="auto"/>
        <w:bottom w:val="none" w:sz="0" w:space="0" w:color="auto"/>
        <w:right w:val="none" w:sz="0" w:space="0" w:color="auto"/>
      </w:divBdr>
    </w:div>
    <w:div w:id="480198583">
      <w:bodyDiv w:val="1"/>
      <w:marLeft w:val="0"/>
      <w:marRight w:val="0"/>
      <w:marTop w:val="0"/>
      <w:marBottom w:val="0"/>
      <w:divBdr>
        <w:top w:val="none" w:sz="0" w:space="0" w:color="auto"/>
        <w:left w:val="none" w:sz="0" w:space="0" w:color="auto"/>
        <w:bottom w:val="none" w:sz="0" w:space="0" w:color="auto"/>
        <w:right w:val="none" w:sz="0" w:space="0" w:color="auto"/>
      </w:divBdr>
    </w:div>
    <w:div w:id="557208554">
      <w:bodyDiv w:val="1"/>
      <w:marLeft w:val="0"/>
      <w:marRight w:val="0"/>
      <w:marTop w:val="0"/>
      <w:marBottom w:val="0"/>
      <w:divBdr>
        <w:top w:val="none" w:sz="0" w:space="0" w:color="auto"/>
        <w:left w:val="none" w:sz="0" w:space="0" w:color="auto"/>
        <w:bottom w:val="none" w:sz="0" w:space="0" w:color="auto"/>
        <w:right w:val="none" w:sz="0" w:space="0" w:color="auto"/>
      </w:divBdr>
    </w:div>
    <w:div w:id="580985314">
      <w:bodyDiv w:val="1"/>
      <w:marLeft w:val="0"/>
      <w:marRight w:val="0"/>
      <w:marTop w:val="0"/>
      <w:marBottom w:val="0"/>
      <w:divBdr>
        <w:top w:val="none" w:sz="0" w:space="0" w:color="auto"/>
        <w:left w:val="none" w:sz="0" w:space="0" w:color="auto"/>
        <w:bottom w:val="none" w:sz="0" w:space="0" w:color="auto"/>
        <w:right w:val="none" w:sz="0" w:space="0" w:color="auto"/>
      </w:divBdr>
    </w:div>
    <w:div w:id="755054254">
      <w:bodyDiv w:val="1"/>
      <w:marLeft w:val="0"/>
      <w:marRight w:val="0"/>
      <w:marTop w:val="0"/>
      <w:marBottom w:val="0"/>
      <w:divBdr>
        <w:top w:val="none" w:sz="0" w:space="0" w:color="auto"/>
        <w:left w:val="none" w:sz="0" w:space="0" w:color="auto"/>
        <w:bottom w:val="none" w:sz="0" w:space="0" w:color="auto"/>
        <w:right w:val="none" w:sz="0" w:space="0" w:color="auto"/>
      </w:divBdr>
    </w:div>
    <w:div w:id="800928525">
      <w:bodyDiv w:val="1"/>
      <w:marLeft w:val="0"/>
      <w:marRight w:val="0"/>
      <w:marTop w:val="0"/>
      <w:marBottom w:val="0"/>
      <w:divBdr>
        <w:top w:val="none" w:sz="0" w:space="0" w:color="auto"/>
        <w:left w:val="none" w:sz="0" w:space="0" w:color="auto"/>
        <w:bottom w:val="none" w:sz="0" w:space="0" w:color="auto"/>
        <w:right w:val="none" w:sz="0" w:space="0" w:color="auto"/>
      </w:divBdr>
    </w:div>
    <w:div w:id="813987629">
      <w:bodyDiv w:val="1"/>
      <w:marLeft w:val="0"/>
      <w:marRight w:val="0"/>
      <w:marTop w:val="0"/>
      <w:marBottom w:val="0"/>
      <w:divBdr>
        <w:top w:val="none" w:sz="0" w:space="0" w:color="auto"/>
        <w:left w:val="none" w:sz="0" w:space="0" w:color="auto"/>
        <w:bottom w:val="none" w:sz="0" w:space="0" w:color="auto"/>
        <w:right w:val="none" w:sz="0" w:space="0" w:color="auto"/>
      </w:divBdr>
    </w:div>
    <w:div w:id="826359927">
      <w:bodyDiv w:val="1"/>
      <w:marLeft w:val="0"/>
      <w:marRight w:val="0"/>
      <w:marTop w:val="0"/>
      <w:marBottom w:val="0"/>
      <w:divBdr>
        <w:top w:val="none" w:sz="0" w:space="0" w:color="auto"/>
        <w:left w:val="none" w:sz="0" w:space="0" w:color="auto"/>
        <w:bottom w:val="none" w:sz="0" w:space="0" w:color="auto"/>
        <w:right w:val="none" w:sz="0" w:space="0" w:color="auto"/>
      </w:divBdr>
    </w:div>
    <w:div w:id="869686063">
      <w:bodyDiv w:val="1"/>
      <w:marLeft w:val="0"/>
      <w:marRight w:val="0"/>
      <w:marTop w:val="0"/>
      <w:marBottom w:val="0"/>
      <w:divBdr>
        <w:top w:val="none" w:sz="0" w:space="0" w:color="auto"/>
        <w:left w:val="none" w:sz="0" w:space="0" w:color="auto"/>
        <w:bottom w:val="none" w:sz="0" w:space="0" w:color="auto"/>
        <w:right w:val="none" w:sz="0" w:space="0" w:color="auto"/>
      </w:divBdr>
    </w:div>
    <w:div w:id="869732218">
      <w:bodyDiv w:val="1"/>
      <w:marLeft w:val="0"/>
      <w:marRight w:val="0"/>
      <w:marTop w:val="0"/>
      <w:marBottom w:val="0"/>
      <w:divBdr>
        <w:top w:val="none" w:sz="0" w:space="0" w:color="auto"/>
        <w:left w:val="none" w:sz="0" w:space="0" w:color="auto"/>
        <w:bottom w:val="none" w:sz="0" w:space="0" w:color="auto"/>
        <w:right w:val="none" w:sz="0" w:space="0" w:color="auto"/>
      </w:divBdr>
    </w:div>
    <w:div w:id="903762986">
      <w:bodyDiv w:val="1"/>
      <w:marLeft w:val="0"/>
      <w:marRight w:val="0"/>
      <w:marTop w:val="0"/>
      <w:marBottom w:val="0"/>
      <w:divBdr>
        <w:top w:val="none" w:sz="0" w:space="0" w:color="auto"/>
        <w:left w:val="none" w:sz="0" w:space="0" w:color="auto"/>
        <w:bottom w:val="none" w:sz="0" w:space="0" w:color="auto"/>
        <w:right w:val="none" w:sz="0" w:space="0" w:color="auto"/>
      </w:divBdr>
    </w:div>
    <w:div w:id="904070182">
      <w:bodyDiv w:val="1"/>
      <w:marLeft w:val="0"/>
      <w:marRight w:val="0"/>
      <w:marTop w:val="0"/>
      <w:marBottom w:val="0"/>
      <w:divBdr>
        <w:top w:val="none" w:sz="0" w:space="0" w:color="auto"/>
        <w:left w:val="none" w:sz="0" w:space="0" w:color="auto"/>
        <w:bottom w:val="none" w:sz="0" w:space="0" w:color="auto"/>
        <w:right w:val="none" w:sz="0" w:space="0" w:color="auto"/>
      </w:divBdr>
    </w:div>
    <w:div w:id="956058549">
      <w:bodyDiv w:val="1"/>
      <w:marLeft w:val="0"/>
      <w:marRight w:val="0"/>
      <w:marTop w:val="0"/>
      <w:marBottom w:val="0"/>
      <w:divBdr>
        <w:top w:val="none" w:sz="0" w:space="0" w:color="auto"/>
        <w:left w:val="none" w:sz="0" w:space="0" w:color="auto"/>
        <w:bottom w:val="none" w:sz="0" w:space="0" w:color="auto"/>
        <w:right w:val="none" w:sz="0" w:space="0" w:color="auto"/>
      </w:divBdr>
    </w:div>
    <w:div w:id="962929968">
      <w:bodyDiv w:val="1"/>
      <w:marLeft w:val="0"/>
      <w:marRight w:val="0"/>
      <w:marTop w:val="0"/>
      <w:marBottom w:val="0"/>
      <w:divBdr>
        <w:top w:val="none" w:sz="0" w:space="0" w:color="auto"/>
        <w:left w:val="none" w:sz="0" w:space="0" w:color="auto"/>
        <w:bottom w:val="none" w:sz="0" w:space="0" w:color="auto"/>
        <w:right w:val="none" w:sz="0" w:space="0" w:color="auto"/>
      </w:divBdr>
    </w:div>
    <w:div w:id="994991645">
      <w:bodyDiv w:val="1"/>
      <w:marLeft w:val="0"/>
      <w:marRight w:val="0"/>
      <w:marTop w:val="0"/>
      <w:marBottom w:val="0"/>
      <w:divBdr>
        <w:top w:val="none" w:sz="0" w:space="0" w:color="auto"/>
        <w:left w:val="none" w:sz="0" w:space="0" w:color="auto"/>
        <w:bottom w:val="none" w:sz="0" w:space="0" w:color="auto"/>
        <w:right w:val="none" w:sz="0" w:space="0" w:color="auto"/>
      </w:divBdr>
    </w:div>
    <w:div w:id="1078093811">
      <w:bodyDiv w:val="1"/>
      <w:marLeft w:val="0"/>
      <w:marRight w:val="0"/>
      <w:marTop w:val="0"/>
      <w:marBottom w:val="0"/>
      <w:divBdr>
        <w:top w:val="none" w:sz="0" w:space="0" w:color="auto"/>
        <w:left w:val="none" w:sz="0" w:space="0" w:color="auto"/>
        <w:bottom w:val="none" w:sz="0" w:space="0" w:color="auto"/>
        <w:right w:val="none" w:sz="0" w:space="0" w:color="auto"/>
      </w:divBdr>
    </w:div>
    <w:div w:id="1082288559">
      <w:bodyDiv w:val="1"/>
      <w:marLeft w:val="0"/>
      <w:marRight w:val="0"/>
      <w:marTop w:val="0"/>
      <w:marBottom w:val="0"/>
      <w:divBdr>
        <w:top w:val="none" w:sz="0" w:space="0" w:color="auto"/>
        <w:left w:val="none" w:sz="0" w:space="0" w:color="auto"/>
        <w:bottom w:val="none" w:sz="0" w:space="0" w:color="auto"/>
        <w:right w:val="none" w:sz="0" w:space="0" w:color="auto"/>
      </w:divBdr>
    </w:div>
    <w:div w:id="1133670357">
      <w:bodyDiv w:val="1"/>
      <w:marLeft w:val="0"/>
      <w:marRight w:val="0"/>
      <w:marTop w:val="0"/>
      <w:marBottom w:val="0"/>
      <w:divBdr>
        <w:top w:val="none" w:sz="0" w:space="0" w:color="auto"/>
        <w:left w:val="none" w:sz="0" w:space="0" w:color="auto"/>
        <w:bottom w:val="none" w:sz="0" w:space="0" w:color="auto"/>
        <w:right w:val="none" w:sz="0" w:space="0" w:color="auto"/>
      </w:divBdr>
    </w:div>
    <w:div w:id="1275363275">
      <w:bodyDiv w:val="1"/>
      <w:marLeft w:val="0"/>
      <w:marRight w:val="0"/>
      <w:marTop w:val="0"/>
      <w:marBottom w:val="0"/>
      <w:divBdr>
        <w:top w:val="none" w:sz="0" w:space="0" w:color="auto"/>
        <w:left w:val="none" w:sz="0" w:space="0" w:color="auto"/>
        <w:bottom w:val="none" w:sz="0" w:space="0" w:color="auto"/>
        <w:right w:val="none" w:sz="0" w:space="0" w:color="auto"/>
      </w:divBdr>
    </w:div>
    <w:div w:id="1339582656">
      <w:bodyDiv w:val="1"/>
      <w:marLeft w:val="0"/>
      <w:marRight w:val="0"/>
      <w:marTop w:val="0"/>
      <w:marBottom w:val="0"/>
      <w:divBdr>
        <w:top w:val="none" w:sz="0" w:space="0" w:color="auto"/>
        <w:left w:val="none" w:sz="0" w:space="0" w:color="auto"/>
        <w:bottom w:val="none" w:sz="0" w:space="0" w:color="auto"/>
        <w:right w:val="none" w:sz="0" w:space="0" w:color="auto"/>
      </w:divBdr>
    </w:div>
    <w:div w:id="1539392555">
      <w:bodyDiv w:val="1"/>
      <w:marLeft w:val="0"/>
      <w:marRight w:val="0"/>
      <w:marTop w:val="0"/>
      <w:marBottom w:val="0"/>
      <w:divBdr>
        <w:top w:val="none" w:sz="0" w:space="0" w:color="auto"/>
        <w:left w:val="none" w:sz="0" w:space="0" w:color="auto"/>
        <w:bottom w:val="none" w:sz="0" w:space="0" w:color="auto"/>
        <w:right w:val="none" w:sz="0" w:space="0" w:color="auto"/>
      </w:divBdr>
    </w:div>
    <w:div w:id="1560633877">
      <w:bodyDiv w:val="1"/>
      <w:marLeft w:val="0"/>
      <w:marRight w:val="0"/>
      <w:marTop w:val="0"/>
      <w:marBottom w:val="0"/>
      <w:divBdr>
        <w:top w:val="none" w:sz="0" w:space="0" w:color="auto"/>
        <w:left w:val="none" w:sz="0" w:space="0" w:color="auto"/>
        <w:bottom w:val="none" w:sz="0" w:space="0" w:color="auto"/>
        <w:right w:val="none" w:sz="0" w:space="0" w:color="auto"/>
      </w:divBdr>
    </w:div>
    <w:div w:id="1594971299">
      <w:bodyDiv w:val="1"/>
      <w:marLeft w:val="0"/>
      <w:marRight w:val="0"/>
      <w:marTop w:val="0"/>
      <w:marBottom w:val="0"/>
      <w:divBdr>
        <w:top w:val="none" w:sz="0" w:space="0" w:color="auto"/>
        <w:left w:val="none" w:sz="0" w:space="0" w:color="auto"/>
        <w:bottom w:val="none" w:sz="0" w:space="0" w:color="auto"/>
        <w:right w:val="none" w:sz="0" w:space="0" w:color="auto"/>
      </w:divBdr>
    </w:div>
    <w:div w:id="1637446086">
      <w:bodyDiv w:val="1"/>
      <w:marLeft w:val="0"/>
      <w:marRight w:val="0"/>
      <w:marTop w:val="0"/>
      <w:marBottom w:val="0"/>
      <w:divBdr>
        <w:top w:val="none" w:sz="0" w:space="0" w:color="auto"/>
        <w:left w:val="none" w:sz="0" w:space="0" w:color="auto"/>
        <w:bottom w:val="none" w:sz="0" w:space="0" w:color="auto"/>
        <w:right w:val="none" w:sz="0" w:space="0" w:color="auto"/>
      </w:divBdr>
    </w:div>
    <w:div w:id="1770614648">
      <w:bodyDiv w:val="1"/>
      <w:marLeft w:val="0"/>
      <w:marRight w:val="0"/>
      <w:marTop w:val="0"/>
      <w:marBottom w:val="0"/>
      <w:divBdr>
        <w:top w:val="none" w:sz="0" w:space="0" w:color="auto"/>
        <w:left w:val="none" w:sz="0" w:space="0" w:color="auto"/>
        <w:bottom w:val="none" w:sz="0" w:space="0" w:color="auto"/>
        <w:right w:val="none" w:sz="0" w:space="0" w:color="auto"/>
      </w:divBdr>
    </w:div>
    <w:div w:id="1782802402">
      <w:bodyDiv w:val="1"/>
      <w:marLeft w:val="0"/>
      <w:marRight w:val="0"/>
      <w:marTop w:val="0"/>
      <w:marBottom w:val="0"/>
      <w:divBdr>
        <w:top w:val="none" w:sz="0" w:space="0" w:color="auto"/>
        <w:left w:val="none" w:sz="0" w:space="0" w:color="auto"/>
        <w:bottom w:val="none" w:sz="0" w:space="0" w:color="auto"/>
        <w:right w:val="none" w:sz="0" w:space="0" w:color="auto"/>
      </w:divBdr>
    </w:div>
    <w:div w:id="1943561112">
      <w:bodyDiv w:val="1"/>
      <w:marLeft w:val="0"/>
      <w:marRight w:val="0"/>
      <w:marTop w:val="0"/>
      <w:marBottom w:val="0"/>
      <w:divBdr>
        <w:top w:val="none" w:sz="0" w:space="0" w:color="auto"/>
        <w:left w:val="none" w:sz="0" w:space="0" w:color="auto"/>
        <w:bottom w:val="none" w:sz="0" w:space="0" w:color="auto"/>
        <w:right w:val="none" w:sz="0" w:space="0" w:color="auto"/>
      </w:divBdr>
    </w:div>
    <w:div w:id="1959751382">
      <w:bodyDiv w:val="1"/>
      <w:marLeft w:val="0"/>
      <w:marRight w:val="0"/>
      <w:marTop w:val="0"/>
      <w:marBottom w:val="0"/>
      <w:divBdr>
        <w:top w:val="none" w:sz="0" w:space="0" w:color="auto"/>
        <w:left w:val="none" w:sz="0" w:space="0" w:color="auto"/>
        <w:bottom w:val="none" w:sz="0" w:space="0" w:color="auto"/>
        <w:right w:val="none" w:sz="0" w:space="0" w:color="auto"/>
      </w:divBdr>
    </w:div>
    <w:div w:id="1995720097">
      <w:bodyDiv w:val="1"/>
      <w:marLeft w:val="0"/>
      <w:marRight w:val="0"/>
      <w:marTop w:val="0"/>
      <w:marBottom w:val="0"/>
      <w:divBdr>
        <w:top w:val="none" w:sz="0" w:space="0" w:color="auto"/>
        <w:left w:val="none" w:sz="0" w:space="0" w:color="auto"/>
        <w:bottom w:val="none" w:sz="0" w:space="0" w:color="auto"/>
        <w:right w:val="none" w:sz="0" w:space="0" w:color="auto"/>
      </w:divBdr>
    </w:div>
    <w:div w:id="2005618831">
      <w:bodyDiv w:val="1"/>
      <w:marLeft w:val="0"/>
      <w:marRight w:val="0"/>
      <w:marTop w:val="0"/>
      <w:marBottom w:val="0"/>
      <w:divBdr>
        <w:top w:val="none" w:sz="0" w:space="0" w:color="auto"/>
        <w:left w:val="none" w:sz="0" w:space="0" w:color="auto"/>
        <w:bottom w:val="none" w:sz="0" w:space="0" w:color="auto"/>
        <w:right w:val="none" w:sz="0" w:space="0" w:color="auto"/>
      </w:divBdr>
    </w:div>
    <w:div w:id="2046174354">
      <w:bodyDiv w:val="1"/>
      <w:marLeft w:val="0"/>
      <w:marRight w:val="0"/>
      <w:marTop w:val="0"/>
      <w:marBottom w:val="0"/>
      <w:divBdr>
        <w:top w:val="none" w:sz="0" w:space="0" w:color="auto"/>
        <w:left w:val="none" w:sz="0" w:space="0" w:color="auto"/>
        <w:bottom w:val="none" w:sz="0" w:space="0" w:color="auto"/>
        <w:right w:val="none" w:sz="0" w:space="0" w:color="auto"/>
      </w:divBdr>
    </w:div>
    <w:div w:id="2065985476">
      <w:bodyDiv w:val="1"/>
      <w:marLeft w:val="0"/>
      <w:marRight w:val="0"/>
      <w:marTop w:val="0"/>
      <w:marBottom w:val="0"/>
      <w:divBdr>
        <w:top w:val="none" w:sz="0" w:space="0" w:color="auto"/>
        <w:left w:val="none" w:sz="0" w:space="0" w:color="auto"/>
        <w:bottom w:val="none" w:sz="0" w:space="0" w:color="auto"/>
        <w:right w:val="none" w:sz="0" w:space="0" w:color="auto"/>
      </w:divBdr>
    </w:div>
    <w:div w:id="211871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header" Target="header3.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footer" Target="footer2.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ckumar079\Desktop\Analysis%20of%204th%20CP\Network%20Infra%20Detail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ckumar079\Desktop\Analysis%20of%204th%20CP\Network%20Infra%20Detail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ckumar079\Desktop\Analysis%20of%204th%20CP\Network%20Infra%20Detail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ckumar079\Desktop\Analysis%20of%204th%20CP\Network%20Infra%20Detail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ckumar079\Desktop\Network%20Infra%20Details1.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ckumar079\Desktop\Network%20Infra%20Details1.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ckumar079\Desktop\Network%20Infra%20Details1.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ckumar079\Desktop\Network%20Infra%20Details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ckumar079\Desktop\Analysis%20of%204th%20CP\Network%20Infra%20Detail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ckumar079\Desktop\Analysis%20of%204th%20CP\Network%20Infra%20Detail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ckumar079\Desktop\Analysis%20of%204th%20CP\Network%20Infra%20Detail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ckumar079\Desktop\Analysis%20of%204th%20CP\Network%20Infra%20Detail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ckumar079\Desktop\Analysis%20of%204th%20CP\Network%20Infra%20Detail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ckumar079\Desktop\Analysis%20of%204th%20CP\Network%20Infra%20Detail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ckumar079\Desktop\Analysis%20of%204th%20CP\Network%20Infra%20Detail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ckumar079\Desktop\TSSPDCL\Resource%20Plan\Working\Comments\Hearing%20&amp;%20Analysis\Analysis%20of%204th%20CP\Network%20Infra%20Detail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plotArea>
      <c:layout/>
      <c:areaChart>
        <c:grouping val="standard"/>
        <c:ser>
          <c:idx val="0"/>
          <c:order val="0"/>
          <c:tx>
            <c:strRef>
              <c:f>'Peak Demand'!$C$5</c:f>
              <c:strCache>
                <c:ptCount val="1"/>
                <c:pt idx="0">
                  <c:v>Peak Demand</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'Peak Demand'!$D$3:$G$4</c:f>
              <c:strCache>
                <c:ptCount val="4"/>
                <c:pt idx="0">
                  <c:v>2019-20</c:v>
                </c:pt>
                <c:pt idx="1">
                  <c:v>2020-21</c:v>
                </c:pt>
                <c:pt idx="2">
                  <c:v>2021-22</c:v>
                </c:pt>
                <c:pt idx="3">
                  <c:v>2022-23</c:v>
                </c:pt>
              </c:strCache>
            </c:strRef>
          </c:cat>
          <c:val>
            <c:numRef>
              <c:f>'Peak Demand'!$D$5:$G$5</c:f>
              <c:numCache>
                <c:formatCode>General</c:formatCode>
                <c:ptCount val="4"/>
                <c:pt idx="0">
                  <c:v>7284</c:v>
                </c:pt>
                <c:pt idx="1">
                  <c:v>8474</c:v>
                </c:pt>
                <c:pt idx="2">
                  <c:v>8792</c:v>
                </c:pt>
                <c:pt idx="3">
                  <c:v>9359</c:v>
                </c:pt>
              </c:numCache>
            </c:numRef>
          </c:val>
          <c:extLst xmlns:c16r2="http://schemas.microsoft.com/office/drawing/2015/06/chart">
            <c:ext xmlns:c16="http://schemas.microsoft.com/office/drawing/2014/chart" uri="{C3380CC4-5D6E-409C-BE32-E72D297353CC}">
              <c16:uniqueId val="{00000000-8780-46E9-AC1C-795F999ACC66}"/>
            </c:ext>
          </c:extLst>
        </c:ser>
        <c:axId val="178107904"/>
        <c:axId val="178109824"/>
      </c:areaChart>
      <c:catAx>
        <c:axId val="178107904"/>
        <c:scaling>
          <c:orientation val="minMax"/>
        </c:scaling>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FY</a:t>
                </a:r>
              </a:p>
            </c:rich>
          </c:tx>
          <c:spPr>
            <a:noFill/>
            <a:ln>
              <a:noFill/>
            </a:ln>
            <a:effectLst/>
          </c:spPr>
        </c:title>
        <c:numFmt formatCode="General" sourceLinked="1"/>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8109824"/>
        <c:crosses val="autoZero"/>
        <c:auto val="1"/>
        <c:lblAlgn val="ctr"/>
        <c:lblOffset val="100"/>
      </c:catAx>
      <c:valAx>
        <c:axId val="178109824"/>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MW</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8107904"/>
        <c:crosses val="autoZero"/>
        <c:crossBetween val="midCat"/>
      </c:valAx>
      <c:spPr>
        <a:noFill/>
        <a:ln>
          <a:noFill/>
        </a:ln>
        <a:effectLst/>
      </c:spPr>
    </c:plotArea>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n-US"/>
  <c:chart>
    <c:title>
      <c:tx>
        <c:rich>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r>
              <a:rPr lang="en-US"/>
              <a:t>Consumer Growth</a:t>
            </a:r>
          </a:p>
        </c:rich>
      </c:tx>
      <c:spPr>
        <a:noFill/>
        <a:ln>
          <a:noFill/>
        </a:ln>
        <a:effectLst/>
      </c:spPr>
    </c:title>
    <c:plotArea>
      <c:layout/>
      <c:barChart>
        <c:barDir val="col"/>
        <c:grouping val="clustered"/>
        <c:ser>
          <c:idx val="0"/>
          <c:order val="0"/>
          <c:tx>
            <c:strRef>
              <c:f>'Consumer growth'!$B$10</c:f>
              <c:strCache>
                <c:ptCount val="1"/>
                <c:pt idx="0">
                  <c:v>LT Consumer Count</c:v>
                </c:pt>
              </c:strCache>
            </c:strRef>
          </c:tx>
          <c:spPr>
            <a:solidFill>
              <a:schemeClr val="accent1"/>
            </a:solidFill>
            <a:ln>
              <a:noFill/>
            </a:ln>
            <a:effectLst/>
          </c:spPr>
          <c:cat>
            <c:strRef>
              <c:f>'Consumer growth'!$C$8:$F$9</c:f>
              <c:strCache>
                <c:ptCount val="4"/>
                <c:pt idx="0">
                  <c:v>2019-20</c:v>
                </c:pt>
                <c:pt idx="1">
                  <c:v>2020-21</c:v>
                </c:pt>
                <c:pt idx="2">
                  <c:v>2021-22</c:v>
                </c:pt>
                <c:pt idx="3">
                  <c:v>2022-23</c:v>
                </c:pt>
              </c:strCache>
            </c:strRef>
          </c:cat>
          <c:val>
            <c:numRef>
              <c:f>'Consumer growth'!$C$10:$F$10</c:f>
              <c:numCache>
                <c:formatCode>General</c:formatCode>
                <c:ptCount val="4"/>
                <c:pt idx="0">
                  <c:v>5978899</c:v>
                </c:pt>
                <c:pt idx="1">
                  <c:v>6174019</c:v>
                </c:pt>
                <c:pt idx="2">
                  <c:v>6345430</c:v>
                </c:pt>
                <c:pt idx="3">
                  <c:v>6505647</c:v>
                </c:pt>
              </c:numCache>
            </c:numRef>
          </c:val>
          <c:extLst xmlns:c16r2="http://schemas.microsoft.com/office/drawing/2015/06/chart">
            <c:ext xmlns:c16="http://schemas.microsoft.com/office/drawing/2014/chart" uri="{C3380CC4-5D6E-409C-BE32-E72D297353CC}">
              <c16:uniqueId val="{00000000-4799-41A3-AC2E-8FC46A3BC0D9}"/>
            </c:ext>
          </c:extLst>
        </c:ser>
        <c:gapWidth val="247"/>
        <c:axId val="181009792"/>
        <c:axId val="181020160"/>
      </c:barChart>
      <c:lineChart>
        <c:grouping val="standard"/>
        <c:ser>
          <c:idx val="1"/>
          <c:order val="1"/>
          <c:tx>
            <c:strRef>
              <c:f>'Consumer growth'!$B$11</c:f>
              <c:strCache>
                <c:ptCount val="1"/>
                <c:pt idx="0">
                  <c:v>HT Consumer Count</c:v>
                </c:pt>
              </c:strCache>
            </c:strRef>
          </c:tx>
          <c:spPr>
            <a:ln w="22225" cap="rnd">
              <a:solidFill>
                <a:schemeClr val="accent2"/>
              </a:solidFill>
              <a:round/>
            </a:ln>
            <a:effectLst/>
          </c:spPr>
          <c:marker>
            <c:symbol val="none"/>
          </c:marker>
          <c:cat>
            <c:strRef>
              <c:f>'Consumer growth'!$C$8:$F$9</c:f>
              <c:strCache>
                <c:ptCount val="4"/>
                <c:pt idx="0">
                  <c:v>2019-20</c:v>
                </c:pt>
                <c:pt idx="1">
                  <c:v>2020-21</c:v>
                </c:pt>
                <c:pt idx="2">
                  <c:v>2021-22</c:v>
                </c:pt>
                <c:pt idx="3">
                  <c:v>2022-23</c:v>
                </c:pt>
              </c:strCache>
            </c:strRef>
          </c:cat>
          <c:val>
            <c:numRef>
              <c:f>'Consumer growth'!$C$11:$F$11</c:f>
              <c:numCache>
                <c:formatCode>General</c:formatCode>
                <c:ptCount val="4"/>
                <c:pt idx="0">
                  <c:v>3055</c:v>
                </c:pt>
                <c:pt idx="1">
                  <c:v>3211</c:v>
                </c:pt>
                <c:pt idx="2">
                  <c:v>3444</c:v>
                </c:pt>
                <c:pt idx="3">
                  <c:v>3639</c:v>
                </c:pt>
              </c:numCache>
            </c:numRef>
          </c:val>
          <c:extLst xmlns:c16r2="http://schemas.microsoft.com/office/drawing/2015/06/chart">
            <c:ext xmlns:c16="http://schemas.microsoft.com/office/drawing/2014/chart" uri="{C3380CC4-5D6E-409C-BE32-E72D297353CC}">
              <c16:uniqueId val="{00000001-4799-41A3-AC2E-8FC46A3BC0D9}"/>
            </c:ext>
          </c:extLst>
        </c:ser>
        <c:marker val="1"/>
        <c:axId val="181023872"/>
        <c:axId val="181022080"/>
      </c:lineChart>
      <c:catAx>
        <c:axId val="181009792"/>
        <c:scaling>
          <c:orientation val="minMax"/>
        </c:scaling>
        <c:axPos val="b"/>
        <c:majorGridlines>
          <c:spPr>
            <a:ln w="9525" cap="flat" cmpd="sng" algn="ctr">
              <a:solidFill>
                <a:schemeClr val="dk1">
                  <a:lumMod val="15000"/>
                  <a:lumOff val="85000"/>
                </a:schemeClr>
              </a:solidFill>
              <a:round/>
            </a:ln>
            <a:effectLst/>
          </c:spPr>
        </c:majorGridlines>
        <c:title>
          <c:tx>
            <c:rich>
              <a:bodyPr rot="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n-US"/>
                  <a:t>FY</a:t>
                </a:r>
              </a:p>
            </c:rich>
          </c:tx>
          <c:spPr>
            <a:noFill/>
            <a:ln>
              <a:noFill/>
            </a:ln>
            <a:effectLst/>
          </c:spPr>
        </c:title>
        <c:numFmt formatCode="General" sourceLinked="1"/>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n-US"/>
          </a:p>
        </c:txPr>
        <c:crossAx val="181020160"/>
        <c:crosses val="autoZero"/>
        <c:auto val="1"/>
        <c:lblAlgn val="ctr"/>
        <c:lblOffset val="100"/>
      </c:catAx>
      <c:valAx>
        <c:axId val="181020160"/>
        <c:scaling>
          <c:orientation val="minMax"/>
        </c:scaling>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n-US"/>
                  <a:t>Consumer Count</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crossAx val="181009792"/>
        <c:crosses val="autoZero"/>
        <c:crossBetween val="between"/>
      </c:valAx>
      <c:valAx>
        <c:axId val="181022080"/>
        <c:scaling>
          <c:orientation val="minMax"/>
        </c:scaling>
        <c:axPos val="r"/>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crossAx val="181023872"/>
        <c:crosses val="max"/>
        <c:crossBetween val="between"/>
      </c:valAx>
      <c:catAx>
        <c:axId val="181023872"/>
        <c:scaling>
          <c:orientation val="minMax"/>
        </c:scaling>
        <c:delete val="1"/>
        <c:axPos val="b"/>
        <c:numFmt formatCode="General" sourceLinked="1"/>
        <c:tickLblPos val="none"/>
        <c:crossAx val="181022080"/>
        <c:crosses val="autoZero"/>
        <c:auto val="1"/>
        <c:lblAlgn val="ctr"/>
        <c:lblOffset val="100"/>
      </c:catAx>
      <c:dTable>
        <c:showHorzBorder val="1"/>
        <c:showVertBorder val="1"/>
        <c:showOutline val="1"/>
        <c:showKeys val="1"/>
        <c:spPr>
          <a:noFill/>
          <a:ln w="9525" cap="flat" cmpd="sng" algn="ctr">
            <a:solidFill>
              <a:schemeClr val="dk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dk1">
                    <a:lumMod val="65000"/>
                    <a:lumOff val="35000"/>
                  </a:schemeClr>
                </a:solidFill>
                <a:latin typeface="+mn-lt"/>
                <a:ea typeface="+mn-ea"/>
                <a:cs typeface="+mn-cs"/>
              </a:defRPr>
            </a:pPr>
            <a:endParaRPr lang="en-US"/>
          </a:p>
        </c:txPr>
      </c:dTable>
      <c:spPr>
        <a:pattFill prst="ltDnDiag">
          <a:fgClr>
            <a:schemeClr val="dk1">
              <a:lumMod val="15000"/>
              <a:lumOff val="85000"/>
            </a:schemeClr>
          </a:fgClr>
          <a:bgClr>
            <a:schemeClr val="lt1"/>
          </a:bgClr>
        </a:patt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n-US"/>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plotArea>
      <c:layout/>
      <c:lineChart>
        <c:grouping val="standard"/>
        <c:ser>
          <c:idx val="0"/>
          <c:order val="0"/>
          <c:tx>
            <c:strRef>
              <c:f>'AT&amp;C Loss'!$B$8</c:f>
              <c:strCache>
                <c:ptCount val="1"/>
                <c:pt idx="0">
                  <c:v>AT&amp;C Loss</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'AT&amp;C Loss'!$C$6:$F$7</c:f>
              <c:strCache>
                <c:ptCount val="4"/>
                <c:pt idx="0">
                  <c:v>2019-20</c:v>
                </c:pt>
                <c:pt idx="1">
                  <c:v>2020-21</c:v>
                </c:pt>
                <c:pt idx="2">
                  <c:v>2021-22</c:v>
                </c:pt>
                <c:pt idx="3">
                  <c:v>2022-23</c:v>
                </c:pt>
              </c:strCache>
            </c:strRef>
          </c:cat>
          <c:val>
            <c:numRef>
              <c:f>'AT&amp;C Loss'!$C$8:$F$8</c:f>
              <c:numCache>
                <c:formatCode>General</c:formatCode>
                <c:ptCount val="4"/>
                <c:pt idx="0">
                  <c:v>36.340000000000003</c:v>
                </c:pt>
                <c:pt idx="1">
                  <c:v>9.0300000000000011</c:v>
                </c:pt>
                <c:pt idx="2">
                  <c:v>13.11</c:v>
                </c:pt>
                <c:pt idx="3">
                  <c:v>22.439999999999994</c:v>
                </c:pt>
              </c:numCache>
            </c:numRef>
          </c:val>
          <c:extLst xmlns:c16r2="http://schemas.microsoft.com/office/drawing/2015/06/chart">
            <c:ext xmlns:c16="http://schemas.microsoft.com/office/drawing/2014/chart" uri="{C3380CC4-5D6E-409C-BE32-E72D297353CC}">
              <c16:uniqueId val="{00000000-74F9-419D-ADE2-ED5F2D818E68}"/>
            </c:ext>
          </c:extLst>
        </c:ser>
        <c:marker val="1"/>
        <c:axId val="181067136"/>
        <c:axId val="181073408"/>
      </c:lineChart>
      <c:catAx>
        <c:axId val="181067136"/>
        <c:scaling>
          <c:orientation val="minMax"/>
        </c:scaling>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FY</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1073408"/>
        <c:crosses val="autoZero"/>
        <c:auto val="1"/>
        <c:lblAlgn val="ctr"/>
        <c:lblOffset val="100"/>
      </c:catAx>
      <c:valAx>
        <c:axId val="181073408"/>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1067136"/>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en-US"/>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plotArea>
      <c:layout/>
      <c:lineChart>
        <c:grouping val="standard"/>
        <c:ser>
          <c:idx val="0"/>
          <c:order val="0"/>
          <c:tx>
            <c:strRef>
              <c:f>'T&amp;D loss'!$B$8</c:f>
              <c:strCache>
                <c:ptCount val="1"/>
                <c:pt idx="0">
                  <c:v>T&amp;D loss</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'T&amp;D loss'!$C$6:$F$7</c:f>
              <c:strCache>
                <c:ptCount val="4"/>
                <c:pt idx="0">
                  <c:v>2019-20</c:v>
                </c:pt>
                <c:pt idx="1">
                  <c:v>2020-21</c:v>
                </c:pt>
                <c:pt idx="2">
                  <c:v>2021-22</c:v>
                </c:pt>
                <c:pt idx="3">
                  <c:v>2022-23</c:v>
                </c:pt>
              </c:strCache>
            </c:strRef>
          </c:cat>
          <c:val>
            <c:numRef>
              <c:f>'T&amp;D loss'!$C$8:$F$8</c:f>
              <c:numCache>
                <c:formatCode>General</c:formatCode>
                <c:ptCount val="4"/>
                <c:pt idx="0">
                  <c:v>13.18</c:v>
                </c:pt>
                <c:pt idx="1">
                  <c:v>13.2</c:v>
                </c:pt>
                <c:pt idx="2">
                  <c:v>12.850000000000003</c:v>
                </c:pt>
                <c:pt idx="3">
                  <c:v>12.75</c:v>
                </c:pt>
              </c:numCache>
            </c:numRef>
          </c:val>
          <c:extLst xmlns:c16r2="http://schemas.microsoft.com/office/drawing/2015/06/chart">
            <c:ext xmlns:c16="http://schemas.microsoft.com/office/drawing/2014/chart" uri="{C3380CC4-5D6E-409C-BE32-E72D297353CC}">
              <c16:uniqueId val="{00000000-13DD-4884-84EF-F762A9275E91}"/>
            </c:ext>
          </c:extLst>
        </c:ser>
        <c:dLbls>
          <c:showVal val="1"/>
        </c:dLbls>
        <c:marker val="1"/>
        <c:axId val="181106944"/>
        <c:axId val="181129600"/>
      </c:lineChart>
      <c:catAx>
        <c:axId val="181106944"/>
        <c:scaling>
          <c:orientation val="minMax"/>
        </c:scaling>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FY</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1129600"/>
        <c:crosses val="autoZero"/>
        <c:auto val="1"/>
        <c:lblAlgn val="ctr"/>
        <c:lblOffset val="100"/>
      </c:catAx>
      <c:valAx>
        <c:axId val="181129600"/>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1106944"/>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en-US"/>
  <c:chart>
    <c:title>
      <c:spPr>
        <a:noFill/>
        <a:ln>
          <a:noFill/>
        </a:ln>
        <a:effectLst/>
      </c:spPr>
      <c:txPr>
        <a:bodyPr rot="0" spcFirstLastPara="1" vertOverflow="ellipsis" vert="horz" wrap="square" anchor="ctr" anchorCtr="1"/>
        <a:lstStyle/>
        <a:p>
          <a:pPr>
            <a:defRPr sz="1500" b="1" i="0" u="none" strike="noStrike" kern="1200" cap="all" spc="100" normalizeH="0" baseline="0">
              <a:solidFill>
                <a:schemeClr val="lt1"/>
              </a:solidFill>
              <a:latin typeface="+mn-lt"/>
              <a:ea typeface="+mn-ea"/>
              <a:cs typeface="+mn-cs"/>
            </a:defRPr>
          </a:pPr>
          <a:endParaRPr lang="en-US"/>
        </a:p>
      </c:txPr>
    </c:title>
    <c:plotArea>
      <c:layout/>
      <c:lineChart>
        <c:grouping val="standard"/>
        <c:ser>
          <c:idx val="0"/>
          <c:order val="0"/>
          <c:tx>
            <c:strRef>
              <c:f>SAIFI!$B$8</c:f>
              <c:strCache>
                <c:ptCount val="1"/>
                <c:pt idx="0">
                  <c:v>SAIFI</c:v>
                </c:pt>
              </c:strCache>
            </c:strRef>
          </c:tx>
          <c:spPr>
            <a:ln w="34925" cap="rnd">
              <a:solidFill>
                <a:schemeClr val="lt1"/>
              </a:solidFill>
              <a:round/>
            </a:ln>
            <a:effectLst>
              <a:outerShdw dist="25400" dir="2700000" algn="tl" rotWithShape="0">
                <a:schemeClr val="accent1"/>
              </a:outerShd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a:solidFill>
                        <a:schemeClr val="accent1">
                          <a:lumMod val="60000"/>
                          <a:lumOff val="40000"/>
                        </a:schemeClr>
                      </a:solidFill>
                    </a:ln>
                    <a:effectLst/>
                  </c:spPr>
                </c15:leaderLines>
              </c:ext>
            </c:extLst>
          </c:dLbls>
          <c:cat>
            <c:strRef>
              <c:f>SAIFI!$C$6:$F$7</c:f>
              <c:strCache>
                <c:ptCount val="4"/>
                <c:pt idx="0">
                  <c:v>2019-20</c:v>
                </c:pt>
                <c:pt idx="1">
                  <c:v>2020-21</c:v>
                </c:pt>
                <c:pt idx="2">
                  <c:v>2021-22</c:v>
                </c:pt>
                <c:pt idx="3">
                  <c:v>2022-23</c:v>
                </c:pt>
              </c:strCache>
            </c:strRef>
          </c:cat>
          <c:val>
            <c:numRef>
              <c:f>SAIFI!$C$8:$F$8</c:f>
              <c:numCache>
                <c:formatCode>General</c:formatCode>
                <c:ptCount val="4"/>
                <c:pt idx="0">
                  <c:v>75</c:v>
                </c:pt>
                <c:pt idx="1">
                  <c:v>68</c:v>
                </c:pt>
                <c:pt idx="2">
                  <c:v>54</c:v>
                </c:pt>
                <c:pt idx="3">
                  <c:v>43</c:v>
                </c:pt>
              </c:numCache>
            </c:numRef>
          </c:val>
          <c:extLst xmlns:c16r2="http://schemas.microsoft.com/office/drawing/2015/06/chart">
            <c:ext xmlns:c16="http://schemas.microsoft.com/office/drawing/2014/chart" uri="{C3380CC4-5D6E-409C-BE32-E72D297353CC}">
              <c16:uniqueId val="{00000000-8F6A-47CE-B508-281D2934FEA5}"/>
            </c:ext>
          </c:extLst>
        </c:ser>
        <c:dLbls>
          <c:showVal val="1"/>
        </c:dLbls>
        <c:dropLines>
          <c:spPr>
            <a:ln w="9525" cap="flat" cmpd="sng" algn="ctr">
              <a:gradFill>
                <a:gsLst>
                  <a:gs pos="0">
                    <a:schemeClr val="lt1"/>
                  </a:gs>
                  <a:gs pos="100000">
                    <a:schemeClr val="lt1">
                      <a:alpha val="0"/>
                    </a:schemeClr>
                  </a:gs>
                </a:gsLst>
                <a:lin ang="5400000" scaled="0"/>
              </a:gradFill>
              <a:round/>
            </a:ln>
            <a:effectLst/>
          </c:spPr>
        </c:dropLines>
        <c:marker val="1"/>
        <c:axId val="181200768"/>
        <c:axId val="181207040"/>
      </c:lineChart>
      <c:catAx>
        <c:axId val="181200768"/>
        <c:scaling>
          <c:orientation val="minMax"/>
        </c:scaling>
        <c:axPos val="b"/>
        <c:title>
          <c:tx>
            <c:rich>
              <a:bodyPr rot="0" spcFirstLastPara="1" vertOverflow="ellipsis" vert="horz" wrap="square" anchor="ctr" anchorCtr="1"/>
              <a:lstStyle/>
              <a:p>
                <a:pPr>
                  <a:defRPr sz="900" b="1" i="0" u="none" strike="noStrike" kern="1200" baseline="0">
                    <a:solidFill>
                      <a:schemeClr val="lt1"/>
                    </a:solidFill>
                    <a:latin typeface="+mn-lt"/>
                    <a:ea typeface="+mn-ea"/>
                    <a:cs typeface="+mn-cs"/>
                  </a:defRPr>
                </a:pPr>
                <a:r>
                  <a:rPr lang="en-US"/>
                  <a:t>FY</a:t>
                </a:r>
              </a:p>
            </c:rich>
          </c:tx>
          <c:spPr>
            <a:noFill/>
            <a:ln>
              <a:noFill/>
            </a:ln>
            <a:effectLst/>
          </c:spPr>
        </c:title>
        <c:numFmt formatCode="General" sourceLinked="1"/>
        <c:majorTickMark val="none"/>
        <c:tickLblPos val="nextTo"/>
        <c:spPr>
          <a:noFill/>
          <a:ln w="12700" cap="flat" cmpd="sng" algn="ctr">
            <a:solidFill>
              <a:schemeClr val="lt1"/>
            </a:solidFill>
            <a:round/>
          </a:ln>
          <a:effectLst/>
        </c:spPr>
        <c:txPr>
          <a:bodyPr rot="-60000000" spcFirstLastPara="1" vertOverflow="ellipsis" vert="horz" wrap="square" anchor="ctr" anchorCtr="1"/>
          <a:lstStyle/>
          <a:p>
            <a:pPr>
              <a:defRPr sz="900" b="0" i="0" u="none" strike="noStrike" kern="1200" spc="100" baseline="0">
                <a:solidFill>
                  <a:schemeClr val="lt1"/>
                </a:solidFill>
                <a:latin typeface="+mn-lt"/>
                <a:ea typeface="+mn-ea"/>
                <a:cs typeface="+mn-cs"/>
              </a:defRPr>
            </a:pPr>
            <a:endParaRPr lang="en-US"/>
          </a:p>
        </c:txPr>
        <c:crossAx val="181207040"/>
        <c:crosses val="autoZero"/>
        <c:auto val="1"/>
        <c:lblAlgn val="ctr"/>
        <c:lblOffset val="100"/>
      </c:catAx>
      <c:valAx>
        <c:axId val="181207040"/>
        <c:scaling>
          <c:orientation val="minMax"/>
        </c:scaling>
        <c:axPos val="l"/>
        <c:title>
          <c:tx>
            <c:rich>
              <a:bodyPr rot="-5400000" spcFirstLastPara="1" vertOverflow="ellipsis" vert="horz" wrap="square" anchor="ctr" anchorCtr="1"/>
              <a:lstStyle/>
              <a:p>
                <a:pPr>
                  <a:defRPr sz="900" b="1" i="0" u="none" strike="noStrike" kern="1200" baseline="0">
                    <a:solidFill>
                      <a:schemeClr val="lt1"/>
                    </a:solidFill>
                    <a:latin typeface="+mn-lt"/>
                    <a:ea typeface="+mn-ea"/>
                    <a:cs typeface="+mn-cs"/>
                  </a:defRPr>
                </a:pPr>
                <a:r>
                  <a:rPr lang="en-US"/>
                  <a:t>No.of</a:t>
                </a:r>
                <a:r>
                  <a:rPr lang="en-US" baseline="0"/>
                  <a:t> Interruptions</a:t>
                </a:r>
                <a:endParaRPr lang="en-US"/>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en-US"/>
          </a:p>
        </c:txPr>
        <c:crossAx val="181200768"/>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accent1"/>
    </a:solidFill>
    <a:ln w="9525" cap="flat" cmpd="sng" algn="ctr">
      <a:solidFill>
        <a:schemeClr val="accent1"/>
      </a:solidFill>
      <a:round/>
    </a:ln>
    <a:effectLst/>
  </c:spPr>
  <c:txPr>
    <a:bodyPr/>
    <a:lstStyle/>
    <a:p>
      <a:pPr>
        <a:defRPr/>
      </a:pPr>
      <a:endParaRPr lang="en-US"/>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lang val="en-US"/>
  <c:chart>
    <c:title>
      <c:spPr>
        <a:noFill/>
        <a:ln>
          <a:noFill/>
        </a:ln>
        <a:effectLst/>
      </c:spPr>
      <c:txPr>
        <a:bodyPr rot="0" spcFirstLastPara="1" vertOverflow="ellipsis" vert="horz" wrap="square" anchor="ctr" anchorCtr="1"/>
        <a:lstStyle/>
        <a:p>
          <a:pPr>
            <a:defRPr sz="1500" b="1" i="0" u="none" strike="noStrike" kern="1200" cap="all" spc="100" normalizeH="0" baseline="0">
              <a:solidFill>
                <a:schemeClr val="lt1"/>
              </a:solidFill>
              <a:latin typeface="+mn-lt"/>
              <a:ea typeface="+mn-ea"/>
              <a:cs typeface="+mn-cs"/>
            </a:defRPr>
          </a:pPr>
          <a:endParaRPr lang="en-US"/>
        </a:p>
      </c:txPr>
    </c:title>
    <c:plotArea>
      <c:layout>
        <c:manualLayout>
          <c:layoutTarget val="inner"/>
          <c:xMode val="edge"/>
          <c:yMode val="edge"/>
          <c:x val="0.1370570550338962"/>
          <c:y val="0.21940140845070433"/>
          <c:w val="0.8629429449661038"/>
          <c:h val="0.71305173561051383"/>
        </c:manualLayout>
      </c:layout>
      <c:lineChart>
        <c:grouping val="standard"/>
        <c:ser>
          <c:idx val="0"/>
          <c:order val="0"/>
          <c:tx>
            <c:strRef>
              <c:f>SAIFI!$B$20</c:f>
              <c:strCache>
                <c:ptCount val="1"/>
                <c:pt idx="0">
                  <c:v>SAIDI</c:v>
                </c:pt>
              </c:strCache>
            </c:strRef>
          </c:tx>
          <c:spPr>
            <a:ln w="34925" cap="rnd">
              <a:solidFill>
                <a:schemeClr val="lt1"/>
              </a:solidFill>
              <a:round/>
            </a:ln>
            <a:effectLst>
              <a:outerShdw dist="25400" dir="2700000" algn="tl" rotWithShape="0">
                <a:schemeClr val="accent1"/>
              </a:outerShd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a:solidFill>
                        <a:schemeClr val="accent1">
                          <a:lumMod val="60000"/>
                          <a:lumOff val="40000"/>
                        </a:schemeClr>
                      </a:solidFill>
                    </a:ln>
                    <a:effectLst/>
                  </c:spPr>
                </c15:leaderLines>
              </c:ext>
            </c:extLst>
          </c:dLbls>
          <c:cat>
            <c:strRef>
              <c:f>SAIFI!$C$18:$F$19</c:f>
              <c:strCache>
                <c:ptCount val="4"/>
                <c:pt idx="0">
                  <c:v>2019-20</c:v>
                </c:pt>
                <c:pt idx="1">
                  <c:v>2020-21</c:v>
                </c:pt>
                <c:pt idx="2">
                  <c:v>2021-22</c:v>
                </c:pt>
                <c:pt idx="3">
                  <c:v>2022-23</c:v>
                </c:pt>
              </c:strCache>
            </c:strRef>
          </c:cat>
          <c:val>
            <c:numRef>
              <c:f>SAIFI!$C$20:$F$20</c:f>
              <c:numCache>
                <c:formatCode>General</c:formatCode>
                <c:ptCount val="4"/>
                <c:pt idx="0">
                  <c:v>1460</c:v>
                </c:pt>
                <c:pt idx="1">
                  <c:v>1454</c:v>
                </c:pt>
                <c:pt idx="2">
                  <c:v>1450</c:v>
                </c:pt>
                <c:pt idx="3">
                  <c:v>1457</c:v>
                </c:pt>
              </c:numCache>
            </c:numRef>
          </c:val>
          <c:extLst xmlns:c16r2="http://schemas.microsoft.com/office/drawing/2015/06/chart">
            <c:ext xmlns:c16="http://schemas.microsoft.com/office/drawing/2014/chart" uri="{C3380CC4-5D6E-409C-BE32-E72D297353CC}">
              <c16:uniqueId val="{00000000-9930-4FFA-8EB8-D6352931634B}"/>
            </c:ext>
          </c:extLst>
        </c:ser>
        <c:dLbls>
          <c:showVal val="1"/>
        </c:dLbls>
        <c:dropLines>
          <c:spPr>
            <a:ln w="9525" cap="flat" cmpd="sng" algn="ctr">
              <a:gradFill>
                <a:gsLst>
                  <a:gs pos="0">
                    <a:schemeClr val="lt1"/>
                  </a:gs>
                  <a:gs pos="100000">
                    <a:schemeClr val="lt1">
                      <a:alpha val="0"/>
                    </a:schemeClr>
                  </a:gs>
                </a:gsLst>
                <a:lin ang="5400000" scaled="0"/>
              </a:gradFill>
              <a:round/>
            </a:ln>
            <a:effectLst/>
          </c:spPr>
        </c:dropLines>
        <c:marker val="1"/>
        <c:axId val="181249536"/>
        <c:axId val="181251456"/>
      </c:lineChart>
      <c:catAx>
        <c:axId val="181249536"/>
        <c:scaling>
          <c:orientation val="minMax"/>
        </c:scaling>
        <c:axPos val="b"/>
        <c:title>
          <c:tx>
            <c:rich>
              <a:bodyPr rot="0" spcFirstLastPara="1" vertOverflow="ellipsis" vert="horz" wrap="square" anchor="ctr" anchorCtr="1"/>
              <a:lstStyle/>
              <a:p>
                <a:pPr>
                  <a:defRPr sz="900" b="1" i="0" u="none" strike="noStrike" kern="1200" baseline="0">
                    <a:solidFill>
                      <a:schemeClr val="lt1"/>
                    </a:solidFill>
                    <a:latin typeface="+mn-lt"/>
                    <a:ea typeface="+mn-ea"/>
                    <a:cs typeface="+mn-cs"/>
                  </a:defRPr>
                </a:pPr>
                <a:r>
                  <a:rPr lang="en-US"/>
                  <a:t>FY</a:t>
                </a:r>
              </a:p>
            </c:rich>
          </c:tx>
          <c:spPr>
            <a:noFill/>
            <a:ln>
              <a:noFill/>
            </a:ln>
            <a:effectLst/>
          </c:spPr>
        </c:title>
        <c:numFmt formatCode="General" sourceLinked="1"/>
        <c:majorTickMark val="none"/>
        <c:tickLblPos val="nextTo"/>
        <c:spPr>
          <a:noFill/>
          <a:ln w="12700" cap="flat" cmpd="sng" algn="ctr">
            <a:solidFill>
              <a:schemeClr val="lt1"/>
            </a:solidFill>
            <a:round/>
          </a:ln>
          <a:effectLst/>
        </c:spPr>
        <c:txPr>
          <a:bodyPr rot="-60000000" spcFirstLastPara="1" vertOverflow="ellipsis" vert="horz" wrap="square" anchor="ctr" anchorCtr="1"/>
          <a:lstStyle/>
          <a:p>
            <a:pPr>
              <a:defRPr sz="900" b="0" i="0" u="none" strike="noStrike" kern="1200" spc="100" baseline="0">
                <a:solidFill>
                  <a:schemeClr val="lt1"/>
                </a:solidFill>
                <a:latin typeface="+mn-lt"/>
                <a:ea typeface="+mn-ea"/>
                <a:cs typeface="+mn-cs"/>
              </a:defRPr>
            </a:pPr>
            <a:endParaRPr lang="en-US"/>
          </a:p>
        </c:txPr>
        <c:crossAx val="181251456"/>
        <c:crosses val="autoZero"/>
        <c:auto val="1"/>
        <c:lblAlgn val="ctr"/>
        <c:lblOffset val="100"/>
      </c:catAx>
      <c:valAx>
        <c:axId val="181251456"/>
        <c:scaling>
          <c:orientation val="minMax"/>
        </c:scaling>
        <c:axPos val="l"/>
        <c:title>
          <c:tx>
            <c:rich>
              <a:bodyPr rot="-5400000" spcFirstLastPara="1" vertOverflow="ellipsis" vert="horz" wrap="square" anchor="ctr" anchorCtr="1"/>
              <a:lstStyle/>
              <a:p>
                <a:pPr>
                  <a:defRPr sz="900" b="1" i="0" u="none" strike="noStrike" kern="1200" baseline="0">
                    <a:solidFill>
                      <a:schemeClr val="lt1"/>
                    </a:solidFill>
                    <a:latin typeface="+mn-lt"/>
                    <a:ea typeface="+mn-ea"/>
                    <a:cs typeface="+mn-cs"/>
                  </a:defRPr>
                </a:pPr>
                <a:r>
                  <a:rPr lang="en-US"/>
                  <a:t>Duration</a:t>
                </a:r>
                <a:r>
                  <a:rPr lang="en-US" baseline="0"/>
                  <a:t> of Interruptions in Min.</a:t>
                </a:r>
                <a:endParaRPr lang="en-US"/>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en-US"/>
          </a:p>
        </c:txPr>
        <c:crossAx val="181249536"/>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accent1"/>
    </a:solidFill>
    <a:ln w="9525" cap="flat" cmpd="sng" algn="ctr">
      <a:solidFill>
        <a:schemeClr val="accent1"/>
      </a:solidFill>
      <a:round/>
    </a:ln>
    <a:effectLst/>
  </c:spPr>
  <c:txPr>
    <a:bodyPr/>
    <a:lstStyle/>
    <a:p>
      <a:pPr>
        <a:defRPr/>
      </a:pPr>
      <a:endParaRPr lang="en-US"/>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lang val="en-US"/>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plotArea>
      <c:layout/>
      <c:lineChart>
        <c:grouping val="standard"/>
        <c:ser>
          <c:idx val="0"/>
          <c:order val="0"/>
          <c:tx>
            <c:strRef>
              <c:f>'Hours of Supply'!$C$8</c:f>
              <c:strCache>
                <c:ptCount val="1"/>
                <c:pt idx="0">
                  <c:v>Hours of Supply</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'Hours of Supply'!$D$6:$G$7</c:f>
              <c:strCache>
                <c:ptCount val="4"/>
                <c:pt idx="0">
                  <c:v>2019-20</c:v>
                </c:pt>
                <c:pt idx="1">
                  <c:v>2020-21</c:v>
                </c:pt>
                <c:pt idx="2">
                  <c:v>2021-22</c:v>
                </c:pt>
                <c:pt idx="3">
                  <c:v>2022-23</c:v>
                </c:pt>
              </c:strCache>
            </c:strRef>
          </c:cat>
          <c:val>
            <c:numRef>
              <c:f>'Hours of Supply'!$D$8:$G$8</c:f>
              <c:numCache>
                <c:formatCode>h:mm</c:formatCode>
                <c:ptCount val="4"/>
                <c:pt idx="0">
                  <c:v>0.97222222222222221</c:v>
                </c:pt>
                <c:pt idx="1">
                  <c:v>0.97569444444444486</c:v>
                </c:pt>
                <c:pt idx="2">
                  <c:v>0.98611111111111116</c:v>
                </c:pt>
                <c:pt idx="3">
                  <c:v>0.99305555555555569</c:v>
                </c:pt>
              </c:numCache>
            </c:numRef>
          </c:val>
          <c:extLst xmlns:c16r2="http://schemas.microsoft.com/office/drawing/2015/06/chart">
            <c:ext xmlns:c16="http://schemas.microsoft.com/office/drawing/2014/chart" uri="{C3380CC4-5D6E-409C-BE32-E72D297353CC}">
              <c16:uniqueId val="{00000000-1B7D-4CD0-AAE0-60D5DFA8C036}"/>
            </c:ext>
          </c:extLst>
        </c:ser>
        <c:dLbls>
          <c:showVal val="1"/>
        </c:dLbls>
        <c:marker val="1"/>
        <c:axId val="181338496"/>
        <c:axId val="181340416"/>
      </c:lineChart>
      <c:catAx>
        <c:axId val="181338496"/>
        <c:scaling>
          <c:orientation val="minMax"/>
        </c:scaling>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FY</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1340416"/>
        <c:crosses val="autoZero"/>
        <c:auto val="1"/>
        <c:lblAlgn val="ctr"/>
        <c:lblOffset val="100"/>
      </c:catAx>
      <c:valAx>
        <c:axId val="181340416"/>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Avg. Hours</a:t>
                </a:r>
                <a:r>
                  <a:rPr lang="en-US" baseline="0"/>
                  <a:t> of Supply</a:t>
                </a:r>
                <a:endParaRPr lang="en-US"/>
              </a:p>
            </c:rich>
          </c:tx>
          <c:spPr>
            <a:noFill/>
            <a:ln>
              <a:noFill/>
            </a:ln>
            <a:effectLst/>
          </c:spPr>
        </c:title>
        <c:numFmt formatCode="h:mm"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1338496"/>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lang val="en-US"/>
  <c:chart>
    <c:title>
      <c:layout>
        <c:manualLayout>
          <c:xMode val="edge"/>
          <c:yMode val="edge"/>
          <c:x val="0.35791666666666688"/>
          <c:y val="2.7777777777777801E-2"/>
        </c:manualLayout>
      </c:layout>
      <c:spPr>
        <a:noFill/>
        <a:ln>
          <a:noFill/>
        </a:ln>
        <a:effectLst/>
      </c:spPr>
      <c:txPr>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endParaRPr lang="en-US"/>
        </a:p>
      </c:txPr>
    </c:title>
    <c:plotArea>
      <c:layout/>
      <c:lineChart>
        <c:grouping val="standard"/>
        <c:ser>
          <c:idx val="0"/>
          <c:order val="0"/>
          <c:tx>
            <c:strRef>
              <c:f>'DTR Failure'!$C$9</c:f>
              <c:strCache>
                <c:ptCount val="1"/>
                <c:pt idx="0">
                  <c:v>DTR Failure Rate</c:v>
                </c:pt>
              </c:strCache>
            </c:strRef>
          </c:tx>
          <c:spPr>
            <a:ln w="22225" cap="rnd" cmpd="sng" algn="ctr">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strRef>
              <c:f>'DTR Failure'!$D$7:$G$8</c:f>
              <c:strCache>
                <c:ptCount val="4"/>
                <c:pt idx="0">
                  <c:v>2019-20</c:v>
                </c:pt>
                <c:pt idx="1">
                  <c:v>2020-21</c:v>
                </c:pt>
                <c:pt idx="2">
                  <c:v>2021-22</c:v>
                </c:pt>
                <c:pt idx="3">
                  <c:v>2022-23</c:v>
                </c:pt>
              </c:strCache>
            </c:strRef>
          </c:cat>
          <c:val>
            <c:numRef>
              <c:f>'DTR Failure'!$D$9:$G$9</c:f>
              <c:numCache>
                <c:formatCode>General</c:formatCode>
                <c:ptCount val="4"/>
                <c:pt idx="0">
                  <c:v>11.16</c:v>
                </c:pt>
                <c:pt idx="1">
                  <c:v>10.350000000000003</c:v>
                </c:pt>
                <c:pt idx="2">
                  <c:v>10.06</c:v>
                </c:pt>
                <c:pt idx="3">
                  <c:v>9.8000000000000007</c:v>
                </c:pt>
              </c:numCache>
            </c:numRef>
          </c:val>
          <c:extLst xmlns:c16r2="http://schemas.microsoft.com/office/drawing/2015/06/chart">
            <c:ext xmlns:c16="http://schemas.microsoft.com/office/drawing/2014/chart" uri="{C3380CC4-5D6E-409C-BE32-E72D297353CC}">
              <c16:uniqueId val="{00000000-24FA-42D0-818F-FDD8C92B275B}"/>
            </c:ext>
          </c:extLst>
        </c:ser>
        <c:dLbls>
          <c:showVal val="1"/>
        </c:dLbls>
        <c:dropLines>
          <c:spPr>
            <a:ln w="9525" cap="flat" cmpd="sng" algn="ctr">
              <a:solidFill>
                <a:schemeClr val="dk1">
                  <a:lumMod val="35000"/>
                  <a:lumOff val="65000"/>
                  <a:alpha val="33000"/>
                </a:schemeClr>
              </a:solidFill>
              <a:round/>
            </a:ln>
            <a:effectLst/>
          </c:spPr>
        </c:dropLines>
        <c:marker val="1"/>
        <c:axId val="181382528"/>
        <c:axId val="181384704"/>
      </c:lineChart>
      <c:catAx>
        <c:axId val="181382528"/>
        <c:scaling>
          <c:orientation val="minMax"/>
        </c:scaling>
        <c:axPos val="b"/>
        <c:title>
          <c:tx>
            <c:rich>
              <a:bodyPr rot="0" spcFirstLastPara="1" vertOverflow="ellipsis" vert="horz" wrap="square" anchor="ctr" anchorCtr="1"/>
              <a:lstStyle/>
              <a:p>
                <a:pPr>
                  <a:defRPr sz="900" b="0" i="0" u="none" strike="noStrike" kern="1200" cap="all" baseline="0">
                    <a:solidFill>
                      <a:schemeClr val="dk1">
                        <a:lumMod val="65000"/>
                        <a:lumOff val="35000"/>
                      </a:schemeClr>
                    </a:solidFill>
                    <a:latin typeface="+mn-lt"/>
                    <a:ea typeface="+mn-ea"/>
                    <a:cs typeface="+mn-cs"/>
                  </a:defRPr>
                </a:pPr>
                <a:r>
                  <a:rPr lang="en-US"/>
                  <a:t>FY</a:t>
                </a:r>
              </a:p>
            </c:rich>
          </c:tx>
          <c:spPr>
            <a:noFill/>
            <a:ln>
              <a:noFill/>
            </a:ln>
            <a:effectLst/>
          </c:spPr>
        </c:title>
        <c:numFmt formatCode="General" sourceLinked="1"/>
        <c:maj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en-US"/>
          </a:p>
        </c:txPr>
        <c:crossAx val="181384704"/>
        <c:crosses val="autoZero"/>
        <c:auto val="1"/>
        <c:lblAlgn val="ctr"/>
        <c:lblOffset val="100"/>
      </c:catAx>
      <c:valAx>
        <c:axId val="181384704"/>
        <c:scaling>
          <c:orientation val="minMax"/>
        </c:scaling>
        <c:axPos val="l"/>
        <c:title>
          <c:tx>
            <c:rich>
              <a:bodyPr rot="-5400000" spcFirstLastPara="1" vertOverflow="ellipsis" vert="horz" wrap="square" anchor="ctr" anchorCtr="1"/>
              <a:lstStyle/>
              <a:p>
                <a:pPr>
                  <a:defRPr sz="900" b="0" i="0" u="none" strike="noStrike" kern="1200" cap="all" baseline="0">
                    <a:solidFill>
                      <a:schemeClr val="dk1">
                        <a:lumMod val="65000"/>
                        <a:lumOff val="35000"/>
                      </a:schemeClr>
                    </a:solidFill>
                    <a:latin typeface="+mn-lt"/>
                    <a:ea typeface="+mn-ea"/>
                    <a:cs typeface="+mn-cs"/>
                  </a:defRPr>
                </a:pPr>
                <a:r>
                  <a:rPr lang="en-US"/>
                  <a:t>%</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en-US"/>
          </a:p>
        </c:txPr>
        <c:crossAx val="181382528"/>
        <c:crosses val="autoZero"/>
        <c:crossBetween val="between"/>
      </c:valAx>
      <c:spPr>
        <a:gradFill>
          <a:gsLst>
            <a:gs pos="100000">
              <a:schemeClr val="lt1">
                <a:lumMod val="95000"/>
              </a:schemeClr>
            </a:gs>
            <a:gs pos="0">
              <a:schemeClr val="lt1"/>
            </a:gs>
          </a:gsLst>
          <a:lin ang="5400000" scaled="0"/>
        </a:grad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r>
              <a:rPr lang="en-US"/>
              <a:t>Consumer Growth</a:t>
            </a:r>
          </a:p>
        </c:rich>
      </c:tx>
      <c:layout>
        <c:manualLayout>
          <c:xMode val="edge"/>
          <c:yMode val="edge"/>
          <c:x val="0.35538188976377988"/>
          <c:y val="2.76976291265651E-2"/>
        </c:manualLayout>
      </c:layout>
      <c:spPr>
        <a:noFill/>
        <a:ln>
          <a:noFill/>
        </a:ln>
        <a:effectLst/>
      </c:spPr>
    </c:title>
    <c:plotArea>
      <c:layout/>
      <c:barChart>
        <c:barDir val="col"/>
        <c:grouping val="clustered"/>
        <c:ser>
          <c:idx val="0"/>
          <c:order val="0"/>
          <c:tx>
            <c:strRef>
              <c:f>'Consumer growth'!$B$4</c:f>
              <c:strCache>
                <c:ptCount val="1"/>
                <c:pt idx="0">
                  <c:v>LT Consumer Count</c:v>
                </c:pt>
              </c:strCache>
            </c:strRef>
          </c:tx>
          <c:spPr>
            <a:solidFill>
              <a:schemeClr val="accent1"/>
            </a:solidFill>
            <a:ln>
              <a:noFill/>
            </a:ln>
            <a:effectLst/>
          </c:spPr>
          <c:cat>
            <c:strRef>
              <c:f>'Consumer growth'!$C$2:$F$3</c:f>
              <c:strCache>
                <c:ptCount val="4"/>
                <c:pt idx="0">
                  <c:v>2019-20</c:v>
                </c:pt>
                <c:pt idx="1">
                  <c:v>2020-21</c:v>
                </c:pt>
                <c:pt idx="2">
                  <c:v>2021-22</c:v>
                </c:pt>
                <c:pt idx="3">
                  <c:v>2022-23</c:v>
                </c:pt>
              </c:strCache>
            </c:strRef>
          </c:cat>
          <c:val>
            <c:numRef>
              <c:f>'Consumer growth'!$C$4:$F$4</c:f>
              <c:numCache>
                <c:formatCode>General</c:formatCode>
                <c:ptCount val="4"/>
                <c:pt idx="0">
                  <c:v>8741688</c:v>
                </c:pt>
                <c:pt idx="1">
                  <c:v>9886911</c:v>
                </c:pt>
                <c:pt idx="2">
                  <c:v>10425904</c:v>
                </c:pt>
                <c:pt idx="3">
                  <c:v>10855941</c:v>
                </c:pt>
              </c:numCache>
            </c:numRef>
          </c:val>
          <c:extLst xmlns:c16r2="http://schemas.microsoft.com/office/drawing/2015/06/chart">
            <c:ext xmlns:c16="http://schemas.microsoft.com/office/drawing/2014/chart" uri="{C3380CC4-5D6E-409C-BE32-E72D297353CC}">
              <c16:uniqueId val="{00000000-F6EA-417E-B4BD-077CA3B1E6E7}"/>
            </c:ext>
          </c:extLst>
        </c:ser>
        <c:gapWidth val="247"/>
        <c:axId val="171179392"/>
        <c:axId val="171378176"/>
      </c:barChart>
      <c:lineChart>
        <c:grouping val="standard"/>
        <c:ser>
          <c:idx val="1"/>
          <c:order val="1"/>
          <c:tx>
            <c:strRef>
              <c:f>'Consumer growth'!$B$5</c:f>
              <c:strCache>
                <c:ptCount val="1"/>
                <c:pt idx="0">
                  <c:v>HT Consumer Count</c:v>
                </c:pt>
              </c:strCache>
            </c:strRef>
          </c:tx>
          <c:spPr>
            <a:ln w="22225" cap="rnd">
              <a:solidFill>
                <a:schemeClr val="accent2"/>
              </a:solidFill>
              <a:round/>
            </a:ln>
            <a:effectLst/>
          </c:spPr>
          <c:marker>
            <c:symbol val="none"/>
          </c:marker>
          <c:cat>
            <c:strRef>
              <c:f>'Consumer growth'!$C$2:$F$3</c:f>
              <c:strCache>
                <c:ptCount val="4"/>
                <c:pt idx="0">
                  <c:v>2019-20</c:v>
                </c:pt>
                <c:pt idx="1">
                  <c:v>2020-21</c:v>
                </c:pt>
                <c:pt idx="2">
                  <c:v>2021-22</c:v>
                </c:pt>
                <c:pt idx="3">
                  <c:v>2022-23</c:v>
                </c:pt>
              </c:strCache>
            </c:strRef>
          </c:cat>
          <c:val>
            <c:numRef>
              <c:f>'Consumer growth'!$C$5:$F$5</c:f>
              <c:numCache>
                <c:formatCode>General</c:formatCode>
                <c:ptCount val="4"/>
                <c:pt idx="0">
                  <c:v>9676</c:v>
                </c:pt>
                <c:pt idx="1">
                  <c:v>10010</c:v>
                </c:pt>
                <c:pt idx="2">
                  <c:v>10685</c:v>
                </c:pt>
                <c:pt idx="3">
                  <c:v>11510</c:v>
                </c:pt>
              </c:numCache>
            </c:numRef>
          </c:val>
          <c:extLst xmlns:c16r2="http://schemas.microsoft.com/office/drawing/2015/06/chart">
            <c:ext xmlns:c16="http://schemas.microsoft.com/office/drawing/2014/chart" uri="{C3380CC4-5D6E-409C-BE32-E72D297353CC}">
              <c16:uniqueId val="{00000001-F6EA-417E-B4BD-077CA3B1E6E7}"/>
            </c:ext>
          </c:extLst>
        </c:ser>
        <c:marker val="1"/>
        <c:axId val="171398272"/>
        <c:axId val="171380096"/>
      </c:lineChart>
      <c:catAx>
        <c:axId val="171179392"/>
        <c:scaling>
          <c:orientation val="minMax"/>
        </c:scaling>
        <c:axPos val="b"/>
        <c:majorGridlines>
          <c:spPr>
            <a:ln w="9525" cap="flat" cmpd="sng" algn="ctr">
              <a:solidFill>
                <a:schemeClr val="dk1">
                  <a:lumMod val="15000"/>
                  <a:lumOff val="85000"/>
                </a:schemeClr>
              </a:solidFill>
              <a:round/>
            </a:ln>
            <a:effectLst/>
          </c:spPr>
        </c:majorGridlines>
        <c:title>
          <c:tx>
            <c:rich>
              <a:bodyPr rot="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n-US"/>
                  <a:t>FY</a:t>
                </a:r>
              </a:p>
            </c:rich>
          </c:tx>
          <c:spPr>
            <a:noFill/>
            <a:ln>
              <a:noFill/>
            </a:ln>
            <a:effectLst/>
          </c:spPr>
        </c:title>
        <c:numFmt formatCode="General" sourceLinked="1"/>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n-US"/>
          </a:p>
        </c:txPr>
        <c:crossAx val="171378176"/>
        <c:crosses val="autoZero"/>
        <c:auto val="1"/>
        <c:lblAlgn val="ctr"/>
        <c:lblOffset val="100"/>
      </c:catAx>
      <c:valAx>
        <c:axId val="171378176"/>
        <c:scaling>
          <c:orientation val="minMax"/>
        </c:scaling>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n-US"/>
                  <a:t>Consumer Count</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crossAx val="171179392"/>
        <c:crosses val="autoZero"/>
        <c:crossBetween val="between"/>
      </c:valAx>
      <c:valAx>
        <c:axId val="171380096"/>
        <c:scaling>
          <c:orientation val="minMax"/>
        </c:scaling>
        <c:axPos val="r"/>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crossAx val="171398272"/>
        <c:crosses val="max"/>
        <c:crossBetween val="between"/>
      </c:valAx>
      <c:catAx>
        <c:axId val="171398272"/>
        <c:scaling>
          <c:orientation val="minMax"/>
        </c:scaling>
        <c:delete val="1"/>
        <c:axPos val="b"/>
        <c:numFmt formatCode="General" sourceLinked="1"/>
        <c:tickLblPos val="none"/>
        <c:crossAx val="171380096"/>
        <c:crosses val="autoZero"/>
        <c:auto val="1"/>
        <c:lblAlgn val="ctr"/>
        <c:lblOffset val="100"/>
      </c:catAx>
      <c:dTable>
        <c:showHorzBorder val="1"/>
        <c:showVertBorder val="1"/>
        <c:showOutline val="1"/>
        <c:showKeys val="1"/>
        <c:spPr>
          <a:noFill/>
          <a:ln w="9525" cap="flat" cmpd="sng" algn="ctr">
            <a:solidFill>
              <a:schemeClr val="dk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dk1">
                    <a:lumMod val="65000"/>
                    <a:lumOff val="35000"/>
                  </a:schemeClr>
                </a:solidFill>
                <a:latin typeface="+mn-lt"/>
                <a:ea typeface="+mn-ea"/>
                <a:cs typeface="+mn-cs"/>
              </a:defRPr>
            </a:pPr>
            <a:endParaRPr lang="en-US"/>
          </a:p>
        </c:txPr>
      </c:dTable>
      <c:spPr>
        <a:pattFill prst="ltDnDiag">
          <a:fgClr>
            <a:schemeClr val="dk1">
              <a:lumMod val="15000"/>
              <a:lumOff val="85000"/>
            </a:schemeClr>
          </a:fgClr>
          <a:bgClr>
            <a:schemeClr val="lt1"/>
          </a:bgClr>
        </a:patt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plotArea>
      <c:layout/>
      <c:lineChart>
        <c:grouping val="standard"/>
        <c:ser>
          <c:idx val="0"/>
          <c:order val="0"/>
          <c:tx>
            <c:strRef>
              <c:f>'AT&amp;C Loss'!$B$4</c:f>
              <c:strCache>
                <c:ptCount val="1"/>
                <c:pt idx="0">
                  <c:v>AT&amp;C Loss</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'AT&amp;C Loss'!$C$2:$F$3</c:f>
              <c:strCache>
                <c:ptCount val="4"/>
                <c:pt idx="0">
                  <c:v>2019-20</c:v>
                </c:pt>
                <c:pt idx="1">
                  <c:v>2020-21</c:v>
                </c:pt>
                <c:pt idx="2">
                  <c:v>2021-22</c:v>
                </c:pt>
                <c:pt idx="3">
                  <c:v>2022-23</c:v>
                </c:pt>
              </c:strCache>
            </c:strRef>
          </c:cat>
          <c:val>
            <c:numRef>
              <c:f>'AT&amp;C Loss'!$C$4:$F$4</c:f>
              <c:numCache>
                <c:formatCode>General</c:formatCode>
                <c:ptCount val="4"/>
                <c:pt idx="0">
                  <c:v>11.26</c:v>
                </c:pt>
                <c:pt idx="1">
                  <c:v>8.49</c:v>
                </c:pt>
                <c:pt idx="2">
                  <c:v>10.6</c:v>
                </c:pt>
                <c:pt idx="3">
                  <c:v>19.72</c:v>
                </c:pt>
              </c:numCache>
            </c:numRef>
          </c:val>
          <c:extLst xmlns:c16r2="http://schemas.microsoft.com/office/drawing/2015/06/chart">
            <c:ext xmlns:c16="http://schemas.microsoft.com/office/drawing/2014/chart" uri="{C3380CC4-5D6E-409C-BE32-E72D297353CC}">
              <c16:uniqueId val="{00000000-B7E4-43C3-8E60-346CD29AF609}"/>
            </c:ext>
          </c:extLst>
        </c:ser>
        <c:dLbls>
          <c:showVal val="1"/>
        </c:dLbls>
        <c:marker val="1"/>
        <c:axId val="178072960"/>
        <c:axId val="178124288"/>
      </c:lineChart>
      <c:catAx>
        <c:axId val="178072960"/>
        <c:scaling>
          <c:orientation val="minMax"/>
        </c:scaling>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FY</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8124288"/>
        <c:crosses val="autoZero"/>
        <c:auto val="1"/>
        <c:lblAlgn val="ctr"/>
        <c:lblOffset val="100"/>
      </c:catAx>
      <c:valAx>
        <c:axId val="178124288"/>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8072960"/>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plotArea>
      <c:layout/>
      <c:lineChart>
        <c:grouping val="standard"/>
        <c:ser>
          <c:idx val="0"/>
          <c:order val="0"/>
          <c:tx>
            <c:strRef>
              <c:f>'T&amp;D loss'!$B$4</c:f>
              <c:strCache>
                <c:ptCount val="1"/>
                <c:pt idx="0">
                  <c:v>T&amp;D Loss</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'T&amp;D loss'!$C$2:$F$3</c:f>
              <c:strCache>
                <c:ptCount val="4"/>
                <c:pt idx="0">
                  <c:v>2019-20</c:v>
                </c:pt>
                <c:pt idx="1">
                  <c:v>2020-21</c:v>
                </c:pt>
                <c:pt idx="2">
                  <c:v>2021-22</c:v>
                </c:pt>
                <c:pt idx="3">
                  <c:v>2022-23</c:v>
                </c:pt>
              </c:strCache>
            </c:strRef>
          </c:cat>
          <c:val>
            <c:numRef>
              <c:f>'T&amp;D loss'!$C$4:$F$4</c:f>
              <c:numCache>
                <c:formatCode>General</c:formatCode>
                <c:ptCount val="4"/>
                <c:pt idx="0">
                  <c:v>12.49</c:v>
                </c:pt>
                <c:pt idx="1">
                  <c:v>13.11</c:v>
                </c:pt>
                <c:pt idx="2">
                  <c:v>12.64</c:v>
                </c:pt>
                <c:pt idx="3">
                  <c:v>12.06</c:v>
                </c:pt>
              </c:numCache>
            </c:numRef>
          </c:val>
          <c:extLst xmlns:c16r2="http://schemas.microsoft.com/office/drawing/2015/06/chart">
            <c:ext xmlns:c16="http://schemas.microsoft.com/office/drawing/2014/chart" uri="{C3380CC4-5D6E-409C-BE32-E72D297353CC}">
              <c16:uniqueId val="{00000000-7592-4723-ADAA-24686248297E}"/>
            </c:ext>
          </c:extLst>
        </c:ser>
        <c:marker val="1"/>
        <c:axId val="178275456"/>
        <c:axId val="178277376"/>
      </c:lineChart>
      <c:catAx>
        <c:axId val="178275456"/>
        <c:scaling>
          <c:orientation val="minMax"/>
        </c:scaling>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FY</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8277376"/>
        <c:crosses val="autoZero"/>
        <c:auto val="1"/>
        <c:lblAlgn val="ctr"/>
        <c:lblOffset val="100"/>
      </c:catAx>
      <c:valAx>
        <c:axId val="178277376"/>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8275456"/>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spPr>
        <a:noFill/>
        <a:ln>
          <a:noFill/>
        </a:ln>
        <a:effectLst/>
      </c:spPr>
      <c:txPr>
        <a:bodyPr rot="0" spcFirstLastPara="1" vertOverflow="ellipsis" vert="horz" wrap="square" anchor="ctr" anchorCtr="1"/>
        <a:lstStyle/>
        <a:p>
          <a:pPr>
            <a:defRPr sz="1500" b="1" i="0" u="none" strike="noStrike" kern="1200" cap="all" spc="100" normalizeH="0" baseline="0">
              <a:solidFill>
                <a:schemeClr val="lt1"/>
              </a:solidFill>
              <a:latin typeface="+mn-lt"/>
              <a:ea typeface="+mn-ea"/>
              <a:cs typeface="+mn-cs"/>
            </a:defRPr>
          </a:pPr>
          <a:endParaRPr lang="en-US"/>
        </a:p>
      </c:txPr>
    </c:title>
    <c:plotArea>
      <c:layout/>
      <c:lineChart>
        <c:grouping val="standard"/>
        <c:ser>
          <c:idx val="0"/>
          <c:order val="0"/>
          <c:tx>
            <c:strRef>
              <c:f>SAIFI!$B$4</c:f>
              <c:strCache>
                <c:ptCount val="1"/>
                <c:pt idx="0">
                  <c:v>SAIFI</c:v>
                </c:pt>
              </c:strCache>
            </c:strRef>
          </c:tx>
          <c:spPr>
            <a:ln w="34925" cap="rnd">
              <a:solidFill>
                <a:schemeClr val="lt1"/>
              </a:solidFill>
              <a:round/>
            </a:ln>
            <a:effectLst>
              <a:outerShdw dist="25400" dir="2700000" algn="tl" rotWithShape="0">
                <a:schemeClr val="accent1"/>
              </a:outerShd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a:solidFill>
                        <a:schemeClr val="accent1">
                          <a:lumMod val="60000"/>
                          <a:lumOff val="40000"/>
                        </a:schemeClr>
                      </a:solidFill>
                    </a:ln>
                    <a:effectLst/>
                  </c:spPr>
                </c15:leaderLines>
              </c:ext>
            </c:extLst>
          </c:dLbls>
          <c:cat>
            <c:strRef>
              <c:f>SAIFI!$C$2:$F$3</c:f>
              <c:strCache>
                <c:ptCount val="4"/>
                <c:pt idx="0">
                  <c:v>2019-20</c:v>
                </c:pt>
                <c:pt idx="1">
                  <c:v>2020-21</c:v>
                </c:pt>
                <c:pt idx="2">
                  <c:v>2021-22</c:v>
                </c:pt>
                <c:pt idx="3">
                  <c:v>2022-23</c:v>
                </c:pt>
              </c:strCache>
            </c:strRef>
          </c:cat>
          <c:val>
            <c:numRef>
              <c:f>SAIFI!$C$4:$F$4</c:f>
              <c:numCache>
                <c:formatCode>General</c:formatCode>
                <c:ptCount val="4"/>
                <c:pt idx="0">
                  <c:v>79.989999999999995</c:v>
                </c:pt>
                <c:pt idx="1">
                  <c:v>85.669999999999987</c:v>
                </c:pt>
                <c:pt idx="2">
                  <c:v>40.550000000000004</c:v>
                </c:pt>
                <c:pt idx="3">
                  <c:v>30.479999999999986</c:v>
                </c:pt>
              </c:numCache>
            </c:numRef>
          </c:val>
          <c:extLst xmlns:c16r2="http://schemas.microsoft.com/office/drawing/2015/06/chart">
            <c:ext xmlns:c16="http://schemas.microsoft.com/office/drawing/2014/chart" uri="{C3380CC4-5D6E-409C-BE32-E72D297353CC}">
              <c16:uniqueId val="{00000000-F80A-4C82-A620-B499016763BE}"/>
            </c:ext>
          </c:extLst>
        </c:ser>
        <c:dLbls>
          <c:showVal val="1"/>
        </c:dLbls>
        <c:dropLines>
          <c:spPr>
            <a:ln w="9525" cap="flat" cmpd="sng" algn="ctr">
              <a:gradFill>
                <a:gsLst>
                  <a:gs pos="0">
                    <a:schemeClr val="lt1"/>
                  </a:gs>
                  <a:gs pos="100000">
                    <a:schemeClr val="lt1">
                      <a:alpha val="0"/>
                    </a:schemeClr>
                  </a:gs>
                </a:gsLst>
                <a:lin ang="5400000" scaled="0"/>
              </a:gradFill>
              <a:round/>
            </a:ln>
            <a:effectLst/>
          </c:spPr>
        </c:dropLines>
        <c:marker val="1"/>
        <c:axId val="178610944"/>
        <c:axId val="178612864"/>
      </c:lineChart>
      <c:catAx>
        <c:axId val="178610944"/>
        <c:scaling>
          <c:orientation val="minMax"/>
        </c:scaling>
        <c:axPos val="b"/>
        <c:title>
          <c:tx>
            <c:rich>
              <a:bodyPr rot="0" spcFirstLastPara="1" vertOverflow="ellipsis" vert="horz" wrap="square" anchor="ctr" anchorCtr="1"/>
              <a:lstStyle/>
              <a:p>
                <a:pPr>
                  <a:defRPr sz="900" b="1" i="0" u="none" strike="noStrike" kern="1200" baseline="0">
                    <a:solidFill>
                      <a:schemeClr val="lt1"/>
                    </a:solidFill>
                    <a:latin typeface="+mn-lt"/>
                    <a:ea typeface="+mn-ea"/>
                    <a:cs typeface="+mn-cs"/>
                  </a:defRPr>
                </a:pPr>
                <a:r>
                  <a:rPr lang="en-US"/>
                  <a:t>FY</a:t>
                </a:r>
              </a:p>
            </c:rich>
          </c:tx>
          <c:spPr>
            <a:noFill/>
            <a:ln>
              <a:noFill/>
            </a:ln>
            <a:effectLst/>
          </c:spPr>
        </c:title>
        <c:numFmt formatCode="General" sourceLinked="1"/>
        <c:majorTickMark val="none"/>
        <c:tickLblPos val="nextTo"/>
        <c:spPr>
          <a:noFill/>
          <a:ln w="12700" cap="flat" cmpd="sng" algn="ctr">
            <a:solidFill>
              <a:schemeClr val="lt1"/>
            </a:solidFill>
            <a:round/>
          </a:ln>
          <a:effectLst/>
        </c:spPr>
        <c:txPr>
          <a:bodyPr rot="-60000000" spcFirstLastPara="1" vertOverflow="ellipsis" vert="horz" wrap="square" anchor="ctr" anchorCtr="1"/>
          <a:lstStyle/>
          <a:p>
            <a:pPr>
              <a:defRPr sz="900" b="0" i="0" u="none" strike="noStrike" kern="1200" spc="100" baseline="0">
                <a:solidFill>
                  <a:schemeClr val="lt1"/>
                </a:solidFill>
                <a:latin typeface="+mn-lt"/>
                <a:ea typeface="+mn-ea"/>
                <a:cs typeface="+mn-cs"/>
              </a:defRPr>
            </a:pPr>
            <a:endParaRPr lang="en-US"/>
          </a:p>
        </c:txPr>
        <c:crossAx val="178612864"/>
        <c:crosses val="autoZero"/>
        <c:auto val="1"/>
        <c:lblAlgn val="ctr"/>
        <c:lblOffset val="100"/>
      </c:catAx>
      <c:valAx>
        <c:axId val="178612864"/>
        <c:scaling>
          <c:orientation val="minMax"/>
        </c:scaling>
        <c:axPos val="l"/>
        <c:title>
          <c:tx>
            <c:rich>
              <a:bodyPr rot="-5400000" spcFirstLastPara="1" vertOverflow="ellipsis" vert="horz" wrap="square" anchor="ctr" anchorCtr="1"/>
              <a:lstStyle/>
              <a:p>
                <a:pPr>
                  <a:defRPr sz="900" b="1" i="0" u="none" strike="noStrike" kern="1200" baseline="0">
                    <a:solidFill>
                      <a:schemeClr val="lt1"/>
                    </a:solidFill>
                    <a:latin typeface="+mn-lt"/>
                    <a:ea typeface="+mn-ea"/>
                    <a:cs typeface="+mn-cs"/>
                  </a:defRPr>
                </a:pPr>
                <a:r>
                  <a:rPr lang="en-US"/>
                  <a:t>No.</a:t>
                </a:r>
                <a:r>
                  <a:rPr lang="en-US" baseline="0"/>
                  <a:t> of Interruptions</a:t>
                </a:r>
                <a:endParaRPr lang="en-US"/>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en-US"/>
          </a:p>
        </c:txPr>
        <c:crossAx val="178610944"/>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accent1"/>
    </a:solidFill>
    <a:ln w="9525" cap="flat" cmpd="sng" algn="ctr">
      <a:solidFill>
        <a:schemeClr val="accent1"/>
      </a:solidFill>
      <a:round/>
    </a:ln>
    <a:effectLst/>
  </c:spPr>
  <c:txPr>
    <a:bodyPr/>
    <a:lstStyle/>
    <a:p>
      <a:pPr>
        <a:defRPr/>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rot="0" spcFirstLastPara="1" vertOverflow="ellipsis" vert="horz" wrap="square" anchor="ctr" anchorCtr="1"/>
          <a:lstStyle/>
          <a:p>
            <a:pPr>
              <a:defRPr sz="1500" b="1" i="0" u="none" strike="noStrike" kern="1200" cap="all" spc="100" normalizeH="0" baseline="0">
                <a:solidFill>
                  <a:schemeClr val="lt1"/>
                </a:solidFill>
                <a:latin typeface="+mn-lt"/>
                <a:ea typeface="+mn-ea"/>
                <a:cs typeface="+mn-cs"/>
              </a:defRPr>
            </a:pPr>
            <a:r>
              <a:rPr lang="en-US"/>
              <a:t>SAIDI</a:t>
            </a:r>
          </a:p>
        </c:rich>
      </c:tx>
      <c:spPr>
        <a:noFill/>
        <a:ln>
          <a:noFill/>
        </a:ln>
        <a:effectLst/>
      </c:spPr>
    </c:title>
    <c:plotArea>
      <c:layout/>
      <c:lineChart>
        <c:grouping val="standard"/>
        <c:ser>
          <c:idx val="0"/>
          <c:order val="0"/>
          <c:tx>
            <c:strRef>
              <c:f>SAIFI!$B$16</c:f>
              <c:strCache>
                <c:ptCount val="1"/>
                <c:pt idx="0">
                  <c:v>SAIDI</c:v>
                </c:pt>
              </c:strCache>
            </c:strRef>
          </c:tx>
          <c:spPr>
            <a:ln w="34925" cap="rnd">
              <a:solidFill>
                <a:schemeClr val="lt1"/>
              </a:solidFill>
              <a:round/>
            </a:ln>
            <a:effectLst>
              <a:outerShdw dist="25400" dir="2700000" algn="tl" rotWithShape="0">
                <a:schemeClr val="accent1"/>
              </a:outerShd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a:solidFill>
                        <a:schemeClr val="accent1">
                          <a:lumMod val="60000"/>
                          <a:lumOff val="40000"/>
                        </a:schemeClr>
                      </a:solidFill>
                    </a:ln>
                    <a:effectLst/>
                  </c:spPr>
                </c15:leaderLines>
              </c:ext>
            </c:extLst>
          </c:dLbls>
          <c:cat>
            <c:strRef>
              <c:f>SAIFI!$C$13:$F$15</c:f>
              <c:strCache>
                <c:ptCount val="4"/>
                <c:pt idx="0">
                  <c:v>2019-20</c:v>
                </c:pt>
                <c:pt idx="1">
                  <c:v>2020-21</c:v>
                </c:pt>
                <c:pt idx="2">
                  <c:v>2021-22</c:v>
                </c:pt>
                <c:pt idx="3">
                  <c:v>2022-23</c:v>
                </c:pt>
              </c:strCache>
            </c:strRef>
          </c:cat>
          <c:val>
            <c:numRef>
              <c:f>SAIFI!$C$16:$F$16</c:f>
              <c:numCache>
                <c:formatCode>General</c:formatCode>
                <c:ptCount val="4"/>
                <c:pt idx="0">
                  <c:v>1888.46</c:v>
                </c:pt>
                <c:pt idx="1">
                  <c:v>1499.99</c:v>
                </c:pt>
                <c:pt idx="2">
                  <c:v>991.03</c:v>
                </c:pt>
                <c:pt idx="3">
                  <c:v>794.27000000000044</c:v>
                </c:pt>
              </c:numCache>
            </c:numRef>
          </c:val>
          <c:extLst xmlns:c16r2="http://schemas.microsoft.com/office/drawing/2015/06/chart">
            <c:ext xmlns:c16="http://schemas.microsoft.com/office/drawing/2014/chart" uri="{C3380CC4-5D6E-409C-BE32-E72D297353CC}">
              <c16:uniqueId val="{00000000-FE25-481A-B955-00D52AE3663F}"/>
            </c:ext>
          </c:extLst>
        </c:ser>
        <c:dLbls>
          <c:showVal val="1"/>
        </c:dLbls>
        <c:dropLines>
          <c:spPr>
            <a:ln w="9525" cap="flat" cmpd="sng" algn="ctr">
              <a:gradFill>
                <a:gsLst>
                  <a:gs pos="0">
                    <a:schemeClr val="lt1"/>
                  </a:gs>
                  <a:gs pos="100000">
                    <a:schemeClr val="lt1">
                      <a:alpha val="0"/>
                    </a:schemeClr>
                  </a:gs>
                </a:gsLst>
                <a:lin ang="5400000" scaled="0"/>
              </a:gradFill>
              <a:round/>
            </a:ln>
            <a:effectLst/>
          </c:spPr>
        </c:dropLines>
        <c:marker val="1"/>
        <c:axId val="180052352"/>
        <c:axId val="180054272"/>
      </c:lineChart>
      <c:catAx>
        <c:axId val="180052352"/>
        <c:scaling>
          <c:orientation val="minMax"/>
        </c:scaling>
        <c:axPos val="b"/>
        <c:title>
          <c:tx>
            <c:rich>
              <a:bodyPr rot="0" spcFirstLastPara="1" vertOverflow="ellipsis" vert="horz" wrap="square" anchor="ctr" anchorCtr="1"/>
              <a:lstStyle/>
              <a:p>
                <a:pPr>
                  <a:defRPr sz="900" b="1" i="0" u="none" strike="noStrike" kern="1200" baseline="0">
                    <a:solidFill>
                      <a:schemeClr val="lt1"/>
                    </a:solidFill>
                    <a:latin typeface="+mn-lt"/>
                    <a:ea typeface="+mn-ea"/>
                    <a:cs typeface="+mn-cs"/>
                  </a:defRPr>
                </a:pPr>
                <a:r>
                  <a:rPr lang="en-US"/>
                  <a:t>FY</a:t>
                </a:r>
              </a:p>
            </c:rich>
          </c:tx>
          <c:spPr>
            <a:noFill/>
            <a:ln>
              <a:noFill/>
            </a:ln>
            <a:effectLst/>
          </c:spPr>
        </c:title>
        <c:numFmt formatCode="General" sourceLinked="1"/>
        <c:majorTickMark val="none"/>
        <c:tickLblPos val="nextTo"/>
        <c:spPr>
          <a:noFill/>
          <a:ln w="12700" cap="flat" cmpd="sng" algn="ctr">
            <a:solidFill>
              <a:schemeClr val="lt1"/>
            </a:solidFill>
            <a:round/>
          </a:ln>
          <a:effectLst/>
        </c:spPr>
        <c:txPr>
          <a:bodyPr rot="-60000000" spcFirstLastPara="1" vertOverflow="ellipsis" vert="horz" wrap="square" anchor="ctr" anchorCtr="1"/>
          <a:lstStyle/>
          <a:p>
            <a:pPr>
              <a:defRPr sz="900" b="0" i="0" u="none" strike="noStrike" kern="1200" spc="100" baseline="0">
                <a:solidFill>
                  <a:schemeClr val="lt1"/>
                </a:solidFill>
                <a:latin typeface="+mn-lt"/>
                <a:ea typeface="+mn-ea"/>
                <a:cs typeface="+mn-cs"/>
              </a:defRPr>
            </a:pPr>
            <a:endParaRPr lang="en-US"/>
          </a:p>
        </c:txPr>
        <c:crossAx val="180054272"/>
        <c:crosses val="autoZero"/>
        <c:auto val="1"/>
        <c:lblAlgn val="ctr"/>
        <c:lblOffset val="100"/>
      </c:catAx>
      <c:valAx>
        <c:axId val="180054272"/>
        <c:scaling>
          <c:orientation val="minMax"/>
        </c:scaling>
        <c:axPos val="l"/>
        <c:title>
          <c:tx>
            <c:rich>
              <a:bodyPr rot="-5400000" spcFirstLastPara="1" vertOverflow="ellipsis" vert="horz" wrap="square" anchor="ctr" anchorCtr="1"/>
              <a:lstStyle/>
              <a:p>
                <a:pPr>
                  <a:defRPr sz="900" b="1" i="0" u="none" strike="noStrike" kern="1200" baseline="0">
                    <a:solidFill>
                      <a:schemeClr val="lt1"/>
                    </a:solidFill>
                    <a:latin typeface="+mn-lt"/>
                    <a:ea typeface="+mn-ea"/>
                    <a:cs typeface="+mn-cs"/>
                  </a:defRPr>
                </a:pPr>
                <a:r>
                  <a:rPr lang="en-US"/>
                  <a:t>Duration</a:t>
                </a:r>
                <a:r>
                  <a:rPr lang="en-US" baseline="0"/>
                  <a:t> of Interruptions in Min.</a:t>
                </a:r>
                <a:endParaRPr lang="en-US"/>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en-US"/>
          </a:p>
        </c:txPr>
        <c:crossAx val="180052352"/>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accent1"/>
    </a:solidFill>
    <a:ln w="9525" cap="flat" cmpd="sng" algn="ctr">
      <a:solidFill>
        <a:schemeClr val="accent1"/>
      </a:solidFill>
      <a:round/>
    </a:ln>
    <a:effectLst/>
  </c:spPr>
  <c:txPr>
    <a:bodyPr/>
    <a:lstStyle/>
    <a:p>
      <a:pPr>
        <a:defRPr/>
      </a:pPr>
      <a:endParaRPr lang="en-US"/>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title>
      <c:spPr>
        <a:noFill/>
        <a:ln>
          <a:noFill/>
        </a:ln>
        <a:effectLst/>
      </c:spPr>
      <c:txPr>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endParaRPr lang="en-US"/>
        </a:p>
      </c:txPr>
    </c:title>
    <c:plotArea>
      <c:layout/>
      <c:lineChart>
        <c:grouping val="stacked"/>
        <c:ser>
          <c:idx val="0"/>
          <c:order val="0"/>
          <c:tx>
            <c:strRef>
              <c:f>'DTR Failure'!$C$5</c:f>
              <c:strCache>
                <c:ptCount val="1"/>
                <c:pt idx="0">
                  <c:v>DTR Failure Rate</c:v>
                </c:pt>
              </c:strCache>
            </c:strRef>
          </c:tx>
          <c:spPr>
            <a:ln w="22225" cap="rnd" cmpd="sng" algn="ctr">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strRef>
              <c:f>'DTR Failure'!$D$3:$G$4</c:f>
              <c:strCache>
                <c:ptCount val="4"/>
                <c:pt idx="0">
                  <c:v>2019-20</c:v>
                </c:pt>
                <c:pt idx="1">
                  <c:v>2020-21</c:v>
                </c:pt>
                <c:pt idx="2">
                  <c:v>2021-22</c:v>
                </c:pt>
                <c:pt idx="3">
                  <c:v>2022-23</c:v>
                </c:pt>
              </c:strCache>
            </c:strRef>
          </c:cat>
          <c:val>
            <c:numRef>
              <c:f>'DTR Failure'!$D$5:$G$5</c:f>
              <c:numCache>
                <c:formatCode>General</c:formatCode>
                <c:ptCount val="4"/>
                <c:pt idx="0">
                  <c:v>7.6499999999999995</c:v>
                </c:pt>
                <c:pt idx="1">
                  <c:v>8.74</c:v>
                </c:pt>
                <c:pt idx="2">
                  <c:v>7.67</c:v>
                </c:pt>
                <c:pt idx="3">
                  <c:v>7.8599999999999985</c:v>
                </c:pt>
              </c:numCache>
            </c:numRef>
          </c:val>
          <c:extLst xmlns:c16r2="http://schemas.microsoft.com/office/drawing/2015/06/chart">
            <c:ext xmlns:c16="http://schemas.microsoft.com/office/drawing/2014/chart" uri="{C3380CC4-5D6E-409C-BE32-E72D297353CC}">
              <c16:uniqueId val="{00000000-1809-4219-A944-D1E96ABED299}"/>
            </c:ext>
          </c:extLst>
        </c:ser>
        <c:dLbls>
          <c:showVal val="1"/>
        </c:dLbls>
        <c:dropLines>
          <c:spPr>
            <a:ln w="9525" cap="flat" cmpd="sng" algn="ctr">
              <a:solidFill>
                <a:schemeClr val="dk1">
                  <a:lumMod val="35000"/>
                  <a:lumOff val="65000"/>
                  <a:alpha val="33000"/>
                </a:schemeClr>
              </a:solidFill>
              <a:round/>
            </a:ln>
            <a:effectLst/>
          </c:spPr>
        </c:dropLines>
        <c:marker val="1"/>
        <c:axId val="180075904"/>
        <c:axId val="180086272"/>
      </c:lineChart>
      <c:catAx>
        <c:axId val="180075904"/>
        <c:scaling>
          <c:orientation val="minMax"/>
        </c:scaling>
        <c:axPos val="b"/>
        <c:title>
          <c:tx>
            <c:rich>
              <a:bodyPr rot="0" spcFirstLastPara="1" vertOverflow="ellipsis" vert="horz" wrap="square" anchor="ctr" anchorCtr="1"/>
              <a:lstStyle/>
              <a:p>
                <a:pPr>
                  <a:defRPr sz="900" b="0" i="0" u="none" strike="noStrike" kern="1200" cap="all" baseline="0">
                    <a:solidFill>
                      <a:schemeClr val="dk1">
                        <a:lumMod val="65000"/>
                        <a:lumOff val="35000"/>
                      </a:schemeClr>
                    </a:solidFill>
                    <a:latin typeface="+mn-lt"/>
                    <a:ea typeface="+mn-ea"/>
                    <a:cs typeface="+mn-cs"/>
                  </a:defRPr>
                </a:pPr>
                <a:r>
                  <a:rPr lang="en-US"/>
                  <a:t>FY</a:t>
                </a:r>
              </a:p>
            </c:rich>
          </c:tx>
          <c:spPr>
            <a:noFill/>
            <a:ln>
              <a:noFill/>
            </a:ln>
            <a:effectLst/>
          </c:spPr>
        </c:title>
        <c:numFmt formatCode="General" sourceLinked="1"/>
        <c:maj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en-US"/>
          </a:p>
        </c:txPr>
        <c:crossAx val="180086272"/>
        <c:crosses val="autoZero"/>
        <c:auto val="1"/>
        <c:lblAlgn val="ctr"/>
        <c:lblOffset val="100"/>
      </c:catAx>
      <c:valAx>
        <c:axId val="180086272"/>
        <c:scaling>
          <c:orientation val="minMax"/>
        </c:scaling>
        <c:axPos val="l"/>
        <c:title>
          <c:tx>
            <c:rich>
              <a:bodyPr rot="-5400000" spcFirstLastPara="1" vertOverflow="ellipsis" vert="horz" wrap="square" anchor="ctr" anchorCtr="1"/>
              <a:lstStyle/>
              <a:p>
                <a:pPr>
                  <a:defRPr sz="900" b="0" i="0" u="none" strike="noStrike" kern="1200" cap="all" baseline="0">
                    <a:solidFill>
                      <a:schemeClr val="dk1">
                        <a:lumMod val="65000"/>
                        <a:lumOff val="35000"/>
                      </a:schemeClr>
                    </a:solidFill>
                    <a:latin typeface="+mn-lt"/>
                    <a:ea typeface="+mn-ea"/>
                    <a:cs typeface="+mn-cs"/>
                  </a:defRPr>
                </a:pPr>
                <a:r>
                  <a:rPr lang="en-US"/>
                  <a:t>%</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en-US"/>
          </a:p>
        </c:txPr>
        <c:crossAx val="180075904"/>
        <c:crosses val="autoZero"/>
        <c:crossBetween val="between"/>
      </c:valAx>
      <c:spPr>
        <a:gradFill>
          <a:gsLst>
            <a:gs pos="100000">
              <a:schemeClr val="lt1">
                <a:lumMod val="95000"/>
              </a:schemeClr>
            </a:gs>
            <a:gs pos="0">
              <a:schemeClr val="lt1"/>
            </a:gs>
          </a:gsLst>
          <a:lin ang="5400000" scaled="0"/>
        </a:gradFill>
        <a:ln>
          <a:noFill/>
        </a:ln>
        <a:effectLst/>
      </c:spPr>
    </c:plotArea>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Avg. Hours of Supply</a:t>
            </a:r>
          </a:p>
        </c:rich>
      </c:tx>
      <c:spPr>
        <a:noFill/>
        <a:ln>
          <a:noFill/>
        </a:ln>
        <a:effectLst/>
      </c:spPr>
    </c:title>
    <c:plotArea>
      <c:layout/>
      <c:lineChart>
        <c:grouping val="standard"/>
        <c:ser>
          <c:idx val="0"/>
          <c:order val="0"/>
          <c:tx>
            <c:strRef>
              <c:f>'Hours of Supply'!$C$4</c:f>
              <c:strCache>
                <c:ptCount val="1"/>
                <c:pt idx="0">
                  <c:v>Hours of Supply</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'Hours of Supply'!$D$2:$G$3</c:f>
              <c:strCache>
                <c:ptCount val="4"/>
                <c:pt idx="0">
                  <c:v>2019-20</c:v>
                </c:pt>
                <c:pt idx="1">
                  <c:v>2020-21</c:v>
                </c:pt>
                <c:pt idx="2">
                  <c:v>2021-22</c:v>
                </c:pt>
                <c:pt idx="3">
                  <c:v>2022-23</c:v>
                </c:pt>
              </c:strCache>
            </c:strRef>
          </c:cat>
          <c:val>
            <c:numRef>
              <c:f>'Hours of Supply'!$D$4:$G$4</c:f>
              <c:numCache>
                <c:formatCode>h:mm</c:formatCode>
                <c:ptCount val="4"/>
                <c:pt idx="0">
                  <c:v>0.99583333333333324</c:v>
                </c:pt>
                <c:pt idx="1">
                  <c:v>0.99722222222222179</c:v>
                </c:pt>
                <c:pt idx="2">
                  <c:v>0.99791666666666656</c:v>
                </c:pt>
                <c:pt idx="3">
                  <c:v>0.99861111111111101</c:v>
                </c:pt>
              </c:numCache>
            </c:numRef>
          </c:val>
          <c:extLst xmlns:c16r2="http://schemas.microsoft.com/office/drawing/2015/06/chart">
            <c:ext xmlns:c16="http://schemas.microsoft.com/office/drawing/2014/chart" uri="{C3380CC4-5D6E-409C-BE32-E72D297353CC}">
              <c16:uniqueId val="{00000000-41A7-43CF-934B-02B86684847A}"/>
            </c:ext>
          </c:extLst>
        </c:ser>
        <c:dLbls>
          <c:showVal val="1"/>
        </c:dLbls>
        <c:marker val="1"/>
        <c:axId val="180295936"/>
        <c:axId val="180314496"/>
      </c:lineChart>
      <c:catAx>
        <c:axId val="180295936"/>
        <c:scaling>
          <c:orientation val="minMax"/>
        </c:scaling>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FY</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0314496"/>
        <c:crosses val="autoZero"/>
        <c:auto val="1"/>
        <c:lblAlgn val="ctr"/>
        <c:lblOffset val="100"/>
      </c:catAx>
      <c:valAx>
        <c:axId val="180314496"/>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Avg.</a:t>
                </a:r>
                <a:r>
                  <a:rPr lang="en-US" baseline="0"/>
                  <a:t> Hours of Supply</a:t>
                </a:r>
                <a:endParaRPr lang="en-US"/>
              </a:p>
            </c:rich>
          </c:tx>
          <c:spPr>
            <a:noFill/>
            <a:ln>
              <a:noFill/>
            </a:ln>
            <a:effectLst/>
          </c:spPr>
        </c:title>
        <c:numFmt formatCode="h:mm"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0295936"/>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US"/>
  <c:chart>
    <c:title>
      <c:layout>
        <c:manualLayout>
          <c:xMode val="edge"/>
          <c:yMode val="edge"/>
          <c:x val="0.37176377952755918"/>
          <c:y val="3.2407407407407419E-2"/>
        </c:manualLayout>
      </c:layout>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plotArea>
      <c:layout/>
      <c:areaChart>
        <c:grouping val="stacked"/>
        <c:ser>
          <c:idx val="0"/>
          <c:order val="0"/>
          <c:tx>
            <c:strRef>
              <c:f>'Peak Demand'!$C$9</c:f>
              <c:strCache>
                <c:ptCount val="1"/>
                <c:pt idx="0">
                  <c:v>Peak Demand</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'Peak Demand'!$D$7:$G$8</c:f>
              <c:strCache>
                <c:ptCount val="4"/>
                <c:pt idx="0">
                  <c:v>2019-20</c:v>
                </c:pt>
                <c:pt idx="1">
                  <c:v>2020-21</c:v>
                </c:pt>
                <c:pt idx="2">
                  <c:v>2021-22</c:v>
                </c:pt>
                <c:pt idx="3">
                  <c:v>2022-23</c:v>
                </c:pt>
              </c:strCache>
            </c:strRef>
          </c:cat>
          <c:val>
            <c:numRef>
              <c:f>'Peak Demand'!$D$9:$G$9</c:f>
              <c:numCache>
                <c:formatCode>General</c:formatCode>
                <c:ptCount val="4"/>
                <c:pt idx="0">
                  <c:v>5659</c:v>
                </c:pt>
                <c:pt idx="1">
                  <c:v>5944</c:v>
                </c:pt>
                <c:pt idx="2">
                  <c:v>5184</c:v>
                </c:pt>
                <c:pt idx="3">
                  <c:v>5993</c:v>
                </c:pt>
              </c:numCache>
            </c:numRef>
          </c:val>
          <c:extLst xmlns:c16r2="http://schemas.microsoft.com/office/drawing/2015/06/chart">
            <c:ext xmlns:c16="http://schemas.microsoft.com/office/drawing/2014/chart" uri="{C3380CC4-5D6E-409C-BE32-E72D297353CC}">
              <c16:uniqueId val="{00000000-D073-4FBD-9070-BA750E003C05}"/>
            </c:ext>
          </c:extLst>
        </c:ser>
        <c:axId val="180352128"/>
        <c:axId val="180354048"/>
      </c:areaChart>
      <c:catAx>
        <c:axId val="180352128"/>
        <c:scaling>
          <c:orientation val="minMax"/>
        </c:scaling>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FY</a:t>
                </a:r>
              </a:p>
            </c:rich>
          </c:tx>
          <c:spPr>
            <a:noFill/>
            <a:ln>
              <a:noFill/>
            </a:ln>
            <a:effectLst/>
          </c:spPr>
        </c:title>
        <c:numFmt formatCode="General" sourceLinked="1"/>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0354048"/>
        <c:crosses val="autoZero"/>
        <c:auto val="1"/>
        <c:lblAlgn val="ctr"/>
        <c:lblOffset val="100"/>
      </c:catAx>
      <c:valAx>
        <c:axId val="180354048"/>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MW</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0352128"/>
        <c:crosses val="autoZero"/>
        <c:crossBetween val="midCat"/>
      </c:valAx>
      <c:spPr>
        <a:noFill/>
        <a:ln>
          <a:noFill/>
        </a:ln>
        <a:effectLst/>
      </c:spPr>
    </c:plotArea>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lgn="just">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FECE0-40DE-4CC0-B6F5-AD4B95A00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31</Pages>
  <Words>5839</Words>
  <Characters>33287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39048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Dilip Koty (IN)</dc:creator>
  <cp:keywords/>
  <dc:description/>
  <cp:lastModifiedBy>TSSPDCL</cp:lastModifiedBy>
  <cp:revision>4</cp:revision>
  <cp:lastPrinted>2023-09-16T07:58:00Z</cp:lastPrinted>
  <dcterms:created xsi:type="dcterms:W3CDTF">2023-09-16T07:20:00Z</dcterms:created>
  <dcterms:modified xsi:type="dcterms:W3CDTF">2023-09-16T08:09:00Z</dcterms:modified>
</cp:coreProperties>
</file>